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366" w:rsidRPr="008221D2" w:rsidRDefault="00287EA1" w:rsidP="008221D2">
      <w:pPr>
        <w:spacing w:after="0"/>
        <w:jc w:val="center"/>
        <w:rPr>
          <w:rFonts w:ascii="Verdana" w:hAnsi="Verdana" w:cs="Times New Roman"/>
          <w:b/>
          <w:sz w:val="24"/>
          <w:szCs w:val="24"/>
        </w:rPr>
      </w:pPr>
      <w:r w:rsidRPr="008221D2">
        <w:rPr>
          <w:rFonts w:ascii="Verdana" w:hAnsi="Verdana" w:cs="Times New Roman"/>
          <w:b/>
          <w:sz w:val="24"/>
          <w:szCs w:val="24"/>
        </w:rPr>
        <w:t xml:space="preserve">Důvodové zprávy RM </w:t>
      </w:r>
      <w:r w:rsidR="00C403EF">
        <w:rPr>
          <w:rFonts w:ascii="Verdana" w:hAnsi="Verdana" w:cs="Times New Roman"/>
          <w:b/>
          <w:sz w:val="24"/>
          <w:szCs w:val="24"/>
        </w:rPr>
        <w:t>13</w:t>
      </w:r>
      <w:r w:rsidR="00551F6C" w:rsidRPr="008221D2">
        <w:rPr>
          <w:rFonts w:ascii="Verdana" w:hAnsi="Verdana" w:cs="Times New Roman"/>
          <w:b/>
          <w:sz w:val="24"/>
          <w:szCs w:val="24"/>
        </w:rPr>
        <w:t xml:space="preserve">. </w:t>
      </w:r>
      <w:r w:rsidR="002D33C7" w:rsidRPr="008221D2">
        <w:rPr>
          <w:rFonts w:ascii="Verdana" w:hAnsi="Verdana" w:cs="Times New Roman"/>
          <w:b/>
          <w:sz w:val="24"/>
          <w:szCs w:val="24"/>
        </w:rPr>
        <w:t>0</w:t>
      </w:r>
      <w:r w:rsidR="00C403EF">
        <w:rPr>
          <w:rFonts w:ascii="Verdana" w:hAnsi="Verdana" w:cs="Times New Roman"/>
          <w:b/>
          <w:sz w:val="24"/>
          <w:szCs w:val="24"/>
        </w:rPr>
        <w:t>5</w:t>
      </w:r>
      <w:r w:rsidR="002D33C7" w:rsidRPr="008221D2">
        <w:rPr>
          <w:rFonts w:ascii="Verdana" w:hAnsi="Verdana" w:cs="Times New Roman"/>
          <w:b/>
          <w:sz w:val="24"/>
          <w:szCs w:val="24"/>
        </w:rPr>
        <w:t>. 2020</w:t>
      </w:r>
    </w:p>
    <w:p w:rsidR="00761366" w:rsidRPr="008221D2" w:rsidRDefault="00761366" w:rsidP="008221D2">
      <w:pPr>
        <w:spacing w:after="0"/>
        <w:jc w:val="both"/>
        <w:rPr>
          <w:rFonts w:ascii="Verdana" w:hAnsi="Verdana" w:cs="Times New Roman"/>
          <w:b/>
          <w:sz w:val="20"/>
          <w:szCs w:val="20"/>
          <w:u w:val="single"/>
        </w:rPr>
      </w:pPr>
    </w:p>
    <w:p w:rsidR="00783943" w:rsidRPr="008221D2" w:rsidRDefault="0076735B" w:rsidP="00321545">
      <w:pPr>
        <w:spacing w:after="0"/>
        <w:jc w:val="both"/>
        <w:rPr>
          <w:rFonts w:ascii="Verdana" w:hAnsi="Verdana" w:cs="Times New Roman"/>
          <w:b/>
          <w:sz w:val="20"/>
          <w:szCs w:val="20"/>
          <w:u w:val="single"/>
        </w:rPr>
      </w:pPr>
      <w:r w:rsidRPr="008221D2">
        <w:rPr>
          <w:rFonts w:ascii="Verdana" w:hAnsi="Verdana" w:cs="Times New Roman"/>
          <w:b/>
          <w:sz w:val="20"/>
          <w:szCs w:val="20"/>
          <w:u w:val="single"/>
        </w:rPr>
        <w:t>Odbor kancelář</w:t>
      </w:r>
      <w:r w:rsidR="00761366" w:rsidRPr="008221D2">
        <w:rPr>
          <w:rFonts w:ascii="Verdana" w:hAnsi="Verdana" w:cs="Times New Roman"/>
          <w:b/>
          <w:sz w:val="20"/>
          <w:szCs w:val="20"/>
          <w:u w:val="single"/>
        </w:rPr>
        <w:t xml:space="preserve"> tajemníka</w:t>
      </w:r>
    </w:p>
    <w:p w:rsidR="00874E46" w:rsidRPr="008221D2" w:rsidRDefault="00874E46" w:rsidP="00321545">
      <w:pPr>
        <w:spacing w:after="0"/>
        <w:jc w:val="both"/>
        <w:rPr>
          <w:rFonts w:ascii="Verdana" w:hAnsi="Verdana" w:cs="Times New Roman"/>
          <w:b/>
          <w:sz w:val="20"/>
          <w:szCs w:val="20"/>
        </w:rPr>
      </w:pPr>
      <w:r w:rsidRPr="008221D2">
        <w:rPr>
          <w:rFonts w:ascii="Verdana" w:hAnsi="Verdana" w:cs="Times New Roman"/>
          <w:b/>
          <w:sz w:val="20"/>
          <w:szCs w:val="20"/>
        </w:rPr>
        <w:t>1/01 Zápis OsV Perštejnec</w:t>
      </w:r>
    </w:p>
    <w:p w:rsidR="00874E46" w:rsidRDefault="00874E46" w:rsidP="00321545">
      <w:pPr>
        <w:spacing w:after="0"/>
        <w:jc w:val="both"/>
        <w:rPr>
          <w:rFonts w:ascii="Verdana" w:hAnsi="Verdana"/>
          <w:sz w:val="20"/>
          <w:szCs w:val="20"/>
        </w:rPr>
      </w:pPr>
      <w:r w:rsidRPr="008221D2">
        <w:rPr>
          <w:rFonts w:ascii="Verdana" w:hAnsi="Verdana"/>
          <w:sz w:val="20"/>
          <w:szCs w:val="20"/>
        </w:rPr>
        <w:t xml:space="preserve">Zápis byl předán vedení města a kompetentním odborům k zajištění dotazů a připomínek OsV. Zápisy osadních výborů jsou zveřejňovány prostřednictvím kanceláře tajemníka na webových stránkách: </w:t>
      </w:r>
      <w:hyperlink r:id="rId7" w:history="1">
        <w:r w:rsidRPr="008221D2">
          <w:rPr>
            <w:rStyle w:val="Hypertextovodkaz"/>
            <w:rFonts w:ascii="Verdana" w:hAnsi="Verdana"/>
            <w:sz w:val="20"/>
            <w:szCs w:val="20"/>
          </w:rPr>
          <w:t>http://mu.kutnahora.cz/mu/osadni-vybory</w:t>
        </w:r>
      </w:hyperlink>
      <w:r w:rsidRPr="008221D2">
        <w:rPr>
          <w:rFonts w:ascii="Verdana" w:hAnsi="Verdana"/>
          <w:sz w:val="20"/>
          <w:szCs w:val="20"/>
        </w:rPr>
        <w:t xml:space="preserve"> </w:t>
      </w:r>
    </w:p>
    <w:p w:rsidR="00573260" w:rsidRDefault="00573260" w:rsidP="00321545">
      <w:pPr>
        <w:spacing w:after="0"/>
        <w:jc w:val="both"/>
        <w:rPr>
          <w:rFonts w:ascii="Verdana" w:hAnsi="Verdana"/>
          <w:sz w:val="20"/>
          <w:szCs w:val="20"/>
        </w:rPr>
      </w:pPr>
    </w:p>
    <w:p w:rsidR="00573260" w:rsidRDefault="00573260" w:rsidP="00321545">
      <w:pPr>
        <w:spacing w:after="0"/>
        <w:jc w:val="both"/>
        <w:rPr>
          <w:rFonts w:ascii="Verdana" w:hAnsi="Verdana"/>
          <w:b/>
          <w:sz w:val="20"/>
          <w:szCs w:val="20"/>
        </w:rPr>
      </w:pPr>
      <w:r w:rsidRPr="00A41574">
        <w:rPr>
          <w:rFonts w:ascii="Verdana" w:hAnsi="Verdana"/>
          <w:b/>
          <w:sz w:val="20"/>
          <w:szCs w:val="20"/>
        </w:rPr>
        <w:t>1/02</w:t>
      </w:r>
      <w:r>
        <w:rPr>
          <w:rFonts w:ascii="Verdana" w:hAnsi="Verdana"/>
          <w:sz w:val="20"/>
          <w:szCs w:val="20"/>
        </w:rPr>
        <w:t xml:space="preserve"> </w:t>
      </w:r>
      <w:r w:rsidR="008A2A0E">
        <w:rPr>
          <w:rFonts w:ascii="Verdana" w:hAnsi="Verdana"/>
          <w:b/>
          <w:noProof/>
          <w:sz w:val="20"/>
          <w:szCs w:val="20"/>
        </w:rPr>
        <w:t>Rozpočtové opatření KT č. 3</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Rozpočtové opatření KT č. 3 – přesun rozpočtových prostředků (§ 16 odst. 3 písm. b) z. č. 250/2000 Sb.)</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Částka: 264.640 Kč</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 xml:space="preserve">Zdůvodnění: </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Na základně usnesení RM č. 20/20 Rada města souhlasila s výsledkem zadávacího řízení veřejné zakázky malého rozsahu s názvem "Procesní řízení". Jako nejvhodnější nabídka pro zadavatele byla vybrána nabídka zhotovitele M. C. TRITON, spol. s r.o., IČO: 49622005 a byla uzavřena smlouva na výše uvedenou veřejnou zakázku se zhotovitelem M. C. TRITON, spol. s r.o., IČO: 49622005, Evropská 846/176a, Praha 6, za nabídkovou cenu 464.640 Kč včetně DPH. Z důvodu neobdržení dotace na tuto akci je nutné položku navýšit.</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Na jednání zastupitelstva města KH dne 28. 4. 2020 nebylo k materiálu přijato usnesení, neboť někteří členové finančního výboru nedoporučili schválení rozpočtového opatření. V zápise z finančního výboru ze dne 10. 3. 2020 je uvedeno:</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Přítomní členové FV nepodporují záměr financování procesního auditu. V programovém prohlášení byl požadavek vypracování personálního auditu. Domnívají se, že výsledky uvedeného auditu nebudou pro město tak přínosné oproti očekávání, podobně jako výstupy z již zpracovaného Strategického řízení, které bylo zpracováno stejnou firmou. Předseda FV diskutoval na toto téma s tajemníkem Města Poděbrady Ing. Martinem Suchánkem a ten vysvětlil, že podobné otázky řeší formou benchmarkingu.</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Na jednání ZM dne 28. 4. 2020 byly dále vznešeny následující připomínky:</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 xml:space="preserve">M. Suchánek poděkoval tajemníkovi za zaslání materiálů, aby se na jednání zastupitelstva mohl připravit. Jeho otázka směřovala k tomu, že nerozuměl, jestli procesní audit nesměřuje například k přípravě na certifikaci ISO 9001/2016. Audit by podle něj měl směřovat k přípravě na tuto certifikaci, aby byly správně nastaveny interní i externí procesy, jak tedy uvnitř úřadu, tak navenek odběratelsko-dodavatelské vztahy. Pokud někdo z přítomných má zkušenosti s korporátem a certifikací ISO, v dnešní době se již jedná o běžně rozšířenou věc a pokud se někdo zajímal o přípravu procesů, jedná se o otázku cca 300.000 Kč při organizaci, která má cca 200 zaměstnanců. A pokud by certifikaci vytvářel TÜV, jedná se o dalších 200.000 Kč. Tj. za 500.000 Kč by mohli mít to nejlepší. Takto mají něco, co neví, kam vede a hodně je to stálo. Proces objednání je také podivný, zajímalo by ho, zda je vše řešeno podle nějaké směrnice. </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Benchmarking je specifický postup vyvinutý firmou Xerox Corporation na počátku osmdesátých let, který se stal zásadní součástí úspěchu amerických firem a poté se ujal také v Evropě.</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Postup vychází ze dvou zásad:</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 zásada čínského generála Sun-c (cca 500 př. n. l.): „Jestliže znáš svého nepřítele a znáš-li sám sebe, nemusíš se obávat o výsledky stovky bitev“.</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 zásada vycházející z motta „Buď nejlepším z nejlepších“.</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Benchmarking je považován za jednu ze základních technik zjišťování a vyhodnocování informací o konkurenci. Průběžná realizace této metody by měla poskytnout řadu cenných informací o konkurenci – o jejích strategických záměrech, ekonomických výsledcích v uplynulých obdobích atd.</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Na základě těchto podkladů si lze vytvořit celkový obraz o možných příležitostech či hrozbách vyplývajících z jednotlivých činností konkurence. Výsledky získané z takto provedených analýz mohou poskytnout velmi užitečné informace o tom, jak se konkurence projevuje.</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Benchmarking zlepšuje provádění činností identifikováním a aplikováním nejlepších výsledků činností a podnikatelských aktivit, které jsou demonstrovány nejlepšími firmami ve svém oboru. Manažeři porovnávají své postupy výroby s těmi, kteří tvoří nejlepší konkurenty ve svém oboru.</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V konečném důsledku jde tedy o zlepšení konkurenceschopnosti či konkurenční pozice organizace.</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V rámci kvalitativního výzkumu, který realizovalo Ministerstvo vnitra ČR kvůli analýze využívání metod kvality, bylo zjištěno, že veřejné organizace vyjádřily zájem o několik konkrétních metod, které se jim zdají nejvhodnější. Je to metoda benchmarkingu, ta bývá často používána v kombinaci s dalšími metodami kvality, dále metoda CAF (Common Assessment Framework), metoda dle normy ISO 9001, EFQM Excellence Model, či jiné nástroje procesního řízení a metoda Balanced scorecard (MVČR, 2016).</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Tyto rozdíly v preferencích modelů jsou dány samozřejmě i tím, že respondenti mají od zavedení těchto metod různá očekávání. A to je jedna z klíčových věcí, protože každý z těchto modelů směřuje ke zvyšování kvality výstupů, nicméně využívá k tomu různé cesty.</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Z výše uvedeného je patrné, že každá veřejná organizace má odlišné požadavky na řízení kvality procesů. Není tedy možné určit jeden konkrétní model, který by bylo možné univerzálně použít napříč veřejným sektorem v České republice. Je nutné analyzovat procesy uvnitř organizace a na základě toho vybrat model nejvhodnější pro každou z organizací.</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Městský úřad Kutná Hora požádal o dotaci z prostředků Operačního programu Lidské zdroje a zaměstnanost na spolufinancování projektu analýzy procesního řízení. V rámci vypsané veřejné zakázky realizované podle metodiky MěÚ KH k zadávání veřejných zakázek byla vybrána firma M. C. Triton, jejíž nabídka byla nejvýhodnější. Hlavním smyslem procesního auditu je zefektivnění procesů a činností prováděných pracovníky úřadu. Odborná firma na základě získaných poznatků vyhotoví mapu procesů. Tuto mapu následně spolu s vedoucími úředníky zanalyzuje a navrhne vedení úřadu možnou optimalizaci procesů, která povede k zefektivnění a zrychlení procesů a zejména k časovým a možná i finančním úsporám.</w:t>
      </w:r>
    </w:p>
    <w:p w:rsidR="00321545"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Jednotlivé návrhy budou následně promítnuty do nové organizační struktury městského úřadu, která bude předložena ke schválení radě města. Lze předpokládat, že dojde s největší pravděpodobností ke snížení počtu funkčních míst.</w:t>
      </w:r>
    </w:p>
    <w:p w:rsidR="00A6355D" w:rsidRPr="00321545" w:rsidRDefault="00321545" w:rsidP="00321545">
      <w:pPr>
        <w:spacing w:after="0"/>
        <w:jc w:val="both"/>
        <w:rPr>
          <w:rFonts w:ascii="Verdana" w:hAnsi="Verdana" w:cs="Times New Roman"/>
          <w:sz w:val="20"/>
          <w:szCs w:val="20"/>
        </w:rPr>
      </w:pPr>
      <w:r w:rsidRPr="00321545">
        <w:rPr>
          <w:rFonts w:ascii="Verdana" w:hAnsi="Verdana" w:cs="Times New Roman"/>
          <w:sz w:val="20"/>
          <w:szCs w:val="20"/>
        </w:rPr>
        <w:t>Na základě výše uvedeného předkladatel doporučuje provést procesní audit, aby dále mohlo být rozhodnuto o nejvhodnější metodě či jejich kombinaci (benchmarking, ISO 9001, apod.), a doporučuje radě města Kutná Hora trvat na svém usnesení č. 160/20 ze dne 4. 3. 2020 a doporučit zastupitelstvu města Kutná Hora návrh rozpočtového opatření schválit.</w:t>
      </w:r>
    </w:p>
    <w:p w:rsidR="00F236FD" w:rsidRPr="008221D2" w:rsidRDefault="00F236FD" w:rsidP="00321545">
      <w:pPr>
        <w:spacing w:after="0"/>
        <w:jc w:val="both"/>
        <w:rPr>
          <w:rFonts w:ascii="Verdana" w:hAnsi="Verdana" w:cs="Times New Roman"/>
          <w:b/>
          <w:sz w:val="20"/>
          <w:szCs w:val="20"/>
          <w:u w:val="single"/>
        </w:rPr>
      </w:pPr>
    </w:p>
    <w:p w:rsidR="00335172" w:rsidRPr="008221D2" w:rsidRDefault="00335172" w:rsidP="00321545">
      <w:pPr>
        <w:spacing w:after="0"/>
        <w:jc w:val="both"/>
        <w:rPr>
          <w:rFonts w:ascii="Verdana" w:hAnsi="Verdana"/>
          <w:b/>
          <w:sz w:val="20"/>
          <w:szCs w:val="20"/>
          <w:u w:val="single"/>
        </w:rPr>
      </w:pPr>
      <w:r w:rsidRPr="008221D2">
        <w:rPr>
          <w:rFonts w:ascii="Verdana" w:hAnsi="Verdana"/>
          <w:b/>
          <w:sz w:val="20"/>
          <w:szCs w:val="20"/>
          <w:u w:val="single"/>
        </w:rPr>
        <w:t>Odbor správy majetku</w:t>
      </w:r>
    </w:p>
    <w:p w:rsidR="00D12679" w:rsidRPr="00274DEF" w:rsidRDefault="00D12679" w:rsidP="00321545">
      <w:pPr>
        <w:spacing w:after="0"/>
        <w:jc w:val="both"/>
        <w:rPr>
          <w:rFonts w:ascii="Verdana" w:hAnsi="Verdana"/>
          <w:b/>
          <w:sz w:val="20"/>
          <w:szCs w:val="20"/>
        </w:rPr>
      </w:pPr>
      <w:r w:rsidRPr="00274DEF">
        <w:rPr>
          <w:rFonts w:ascii="Verdana" w:hAnsi="Verdana"/>
          <w:b/>
          <w:sz w:val="20"/>
          <w:szCs w:val="20"/>
        </w:rPr>
        <w:t>3/0</w:t>
      </w:r>
      <w:r>
        <w:rPr>
          <w:rFonts w:ascii="Verdana" w:hAnsi="Verdana"/>
          <w:b/>
          <w:sz w:val="20"/>
          <w:szCs w:val="20"/>
        </w:rPr>
        <w:t>1</w:t>
      </w:r>
      <w:r w:rsidRPr="00274DEF">
        <w:rPr>
          <w:rFonts w:ascii="Verdana" w:hAnsi="Verdana"/>
          <w:b/>
          <w:sz w:val="20"/>
          <w:szCs w:val="20"/>
        </w:rPr>
        <w:t xml:space="preserve"> Zveřejnění záměru na výpůjčku části pozemku v </w:t>
      </w:r>
      <w:r w:rsidR="00321545" w:rsidRPr="00274DEF">
        <w:rPr>
          <w:rFonts w:ascii="Verdana" w:hAnsi="Verdana"/>
          <w:b/>
          <w:sz w:val="20"/>
          <w:szCs w:val="20"/>
        </w:rPr>
        <w:t>k. ú.</w:t>
      </w:r>
      <w:r w:rsidRPr="00274DEF">
        <w:rPr>
          <w:rFonts w:ascii="Verdana" w:hAnsi="Verdana"/>
          <w:b/>
          <w:sz w:val="20"/>
          <w:szCs w:val="20"/>
        </w:rPr>
        <w:t xml:space="preserve"> Kutná Hora</w:t>
      </w:r>
      <w:r>
        <w:rPr>
          <w:rFonts w:ascii="Verdana" w:hAnsi="Verdana"/>
          <w:b/>
          <w:sz w:val="20"/>
          <w:szCs w:val="20"/>
        </w:rPr>
        <w:t xml:space="preserve"> (ŘKF)</w:t>
      </w:r>
    </w:p>
    <w:p w:rsidR="00D12679" w:rsidRPr="00274DEF" w:rsidRDefault="00D12679" w:rsidP="00321545">
      <w:pPr>
        <w:spacing w:after="0"/>
        <w:jc w:val="both"/>
        <w:rPr>
          <w:rFonts w:ascii="Verdana" w:hAnsi="Verdana"/>
          <w:sz w:val="20"/>
          <w:szCs w:val="20"/>
        </w:rPr>
      </w:pPr>
      <w:r>
        <w:rPr>
          <w:rFonts w:ascii="Verdana" w:hAnsi="Verdana"/>
          <w:sz w:val="20"/>
          <w:szCs w:val="20"/>
        </w:rPr>
        <w:t xml:space="preserve">Římskokatolická farnost – arciděkanství Kutná Hora </w:t>
      </w:r>
      <w:r w:rsidRPr="0058174E">
        <w:rPr>
          <w:rFonts w:ascii="Verdana" w:hAnsi="Verdana"/>
          <w:sz w:val="20"/>
          <w:szCs w:val="20"/>
        </w:rPr>
        <w:t>požádala o výpůjčku části pozemků v</w:t>
      </w:r>
      <w:r>
        <w:rPr>
          <w:rFonts w:ascii="Verdana" w:hAnsi="Verdana"/>
          <w:sz w:val="20"/>
          <w:szCs w:val="20"/>
        </w:rPr>
        <w:t> </w:t>
      </w:r>
      <w:r w:rsidRPr="0058174E">
        <w:rPr>
          <w:rFonts w:ascii="Verdana" w:hAnsi="Verdana"/>
          <w:sz w:val="20"/>
          <w:szCs w:val="20"/>
        </w:rPr>
        <w:t xml:space="preserve">majetku města. Jedná se pozemky </w:t>
      </w:r>
      <w:r w:rsidR="00321545" w:rsidRPr="0058174E">
        <w:rPr>
          <w:rFonts w:ascii="Verdana" w:hAnsi="Verdana"/>
          <w:sz w:val="20"/>
          <w:szCs w:val="20"/>
        </w:rPr>
        <w:t>p. č.</w:t>
      </w:r>
      <w:r w:rsidRPr="0058174E">
        <w:rPr>
          <w:rFonts w:ascii="Verdana" w:hAnsi="Verdana"/>
          <w:sz w:val="20"/>
          <w:szCs w:val="20"/>
        </w:rPr>
        <w:t xml:space="preserve"> 227/1 v </w:t>
      </w:r>
      <w:r w:rsidR="00321545" w:rsidRPr="0058174E">
        <w:rPr>
          <w:rFonts w:ascii="Verdana" w:hAnsi="Verdana"/>
          <w:sz w:val="20"/>
          <w:szCs w:val="20"/>
        </w:rPr>
        <w:t>k. ú.</w:t>
      </w:r>
      <w:r w:rsidRPr="0058174E">
        <w:rPr>
          <w:rFonts w:ascii="Verdana" w:hAnsi="Verdana"/>
          <w:sz w:val="20"/>
          <w:szCs w:val="20"/>
        </w:rPr>
        <w:t xml:space="preserve"> Kutná Hora (prostor před</w:t>
      </w:r>
      <w:r>
        <w:rPr>
          <w:rFonts w:ascii="Verdana" w:hAnsi="Verdana"/>
          <w:sz w:val="20"/>
          <w:szCs w:val="20"/>
        </w:rPr>
        <w:t> </w:t>
      </w:r>
      <w:r w:rsidRPr="0058174E">
        <w:rPr>
          <w:rFonts w:ascii="Verdana" w:hAnsi="Verdana"/>
          <w:sz w:val="20"/>
          <w:szCs w:val="20"/>
        </w:rPr>
        <w:t xml:space="preserve">chrámem sv. Barbory), dále </w:t>
      </w:r>
      <w:r w:rsidR="00321545" w:rsidRPr="0058174E">
        <w:rPr>
          <w:rFonts w:ascii="Verdana" w:hAnsi="Verdana"/>
          <w:sz w:val="20"/>
          <w:szCs w:val="20"/>
        </w:rPr>
        <w:t>p. č.</w:t>
      </w:r>
      <w:r w:rsidRPr="0058174E">
        <w:rPr>
          <w:rFonts w:ascii="Verdana" w:hAnsi="Verdana"/>
          <w:sz w:val="20"/>
          <w:szCs w:val="20"/>
        </w:rPr>
        <w:t xml:space="preserve"> 3764 v </w:t>
      </w:r>
      <w:r w:rsidR="00321545" w:rsidRPr="0058174E">
        <w:rPr>
          <w:rFonts w:ascii="Verdana" w:hAnsi="Verdana"/>
          <w:sz w:val="20"/>
          <w:szCs w:val="20"/>
        </w:rPr>
        <w:t>k. ú.</w:t>
      </w:r>
      <w:r w:rsidRPr="0058174E">
        <w:rPr>
          <w:rFonts w:ascii="Verdana" w:hAnsi="Verdana"/>
          <w:sz w:val="20"/>
          <w:szCs w:val="20"/>
        </w:rPr>
        <w:t xml:space="preserve"> Kutná Hora (prostor u zadního vchodu kostela sv. Jakuba) a </w:t>
      </w:r>
      <w:r w:rsidR="00321545" w:rsidRPr="0058174E">
        <w:rPr>
          <w:rFonts w:ascii="Verdana" w:hAnsi="Verdana"/>
          <w:sz w:val="20"/>
          <w:szCs w:val="20"/>
        </w:rPr>
        <w:t>p. č.</w:t>
      </w:r>
      <w:r w:rsidRPr="0058174E">
        <w:rPr>
          <w:rFonts w:ascii="Verdana" w:hAnsi="Verdana"/>
          <w:sz w:val="20"/>
          <w:szCs w:val="20"/>
        </w:rPr>
        <w:t xml:space="preserve"> 3740 v </w:t>
      </w:r>
      <w:r w:rsidR="00321545" w:rsidRPr="0058174E">
        <w:rPr>
          <w:rFonts w:ascii="Verdana" w:hAnsi="Verdana"/>
          <w:sz w:val="20"/>
          <w:szCs w:val="20"/>
        </w:rPr>
        <w:t>k. ú.</w:t>
      </w:r>
      <w:r w:rsidRPr="0058174E">
        <w:rPr>
          <w:rFonts w:ascii="Verdana" w:hAnsi="Verdana"/>
          <w:sz w:val="20"/>
          <w:szCs w:val="20"/>
        </w:rPr>
        <w:t xml:space="preserve"> Kutná Hora (prostor před vchodem do kostela Matky Boží Na Náměti). Farnost má záměr umístit u těchto objektů informační sloupy pro</w:t>
      </w:r>
      <w:r>
        <w:rPr>
          <w:rFonts w:ascii="Verdana" w:hAnsi="Verdana"/>
          <w:sz w:val="20"/>
          <w:szCs w:val="20"/>
        </w:rPr>
        <w:t> </w:t>
      </w:r>
      <w:r w:rsidRPr="0058174E">
        <w:rPr>
          <w:rFonts w:ascii="Verdana" w:hAnsi="Verdana"/>
          <w:sz w:val="20"/>
          <w:szCs w:val="20"/>
        </w:rPr>
        <w:t>návštěvníky a turisty města. Informační sloupy jsou navrženy tak, aby je bylo možné kdykoliv demontovat.</w:t>
      </w:r>
    </w:p>
    <w:p w:rsidR="00D12679" w:rsidRDefault="00D12679" w:rsidP="00321545">
      <w:pPr>
        <w:spacing w:after="0"/>
        <w:jc w:val="both"/>
        <w:rPr>
          <w:rFonts w:ascii="Verdana" w:hAnsi="Verdana"/>
          <w:b/>
          <w:sz w:val="20"/>
          <w:szCs w:val="20"/>
        </w:rPr>
      </w:pPr>
    </w:p>
    <w:p w:rsidR="00D12679" w:rsidRPr="00274DEF" w:rsidRDefault="00D12679" w:rsidP="00321545">
      <w:pPr>
        <w:spacing w:after="0"/>
        <w:jc w:val="both"/>
        <w:rPr>
          <w:rFonts w:ascii="Verdana" w:hAnsi="Verdana"/>
          <w:b/>
          <w:sz w:val="20"/>
          <w:szCs w:val="20"/>
        </w:rPr>
      </w:pPr>
      <w:r w:rsidRPr="00274DEF">
        <w:rPr>
          <w:rFonts w:ascii="Verdana" w:hAnsi="Verdana"/>
          <w:b/>
          <w:sz w:val="20"/>
          <w:szCs w:val="20"/>
        </w:rPr>
        <w:t>3/0</w:t>
      </w:r>
      <w:r>
        <w:rPr>
          <w:rFonts w:ascii="Verdana" w:hAnsi="Verdana"/>
          <w:b/>
          <w:sz w:val="20"/>
          <w:szCs w:val="20"/>
        </w:rPr>
        <w:t>2</w:t>
      </w:r>
      <w:r w:rsidRPr="00274DEF">
        <w:rPr>
          <w:rFonts w:ascii="Verdana" w:hAnsi="Verdana"/>
          <w:b/>
          <w:sz w:val="20"/>
          <w:szCs w:val="20"/>
        </w:rPr>
        <w:t xml:space="preserve"> Uzavření smlouvy o </w:t>
      </w:r>
      <w:r>
        <w:rPr>
          <w:rFonts w:ascii="Verdana" w:hAnsi="Verdana"/>
          <w:b/>
          <w:sz w:val="20"/>
          <w:szCs w:val="20"/>
        </w:rPr>
        <w:t>pronájem</w:t>
      </w:r>
      <w:r w:rsidRPr="00274DEF">
        <w:rPr>
          <w:rFonts w:ascii="Verdana" w:hAnsi="Verdana"/>
          <w:b/>
          <w:sz w:val="20"/>
          <w:szCs w:val="20"/>
        </w:rPr>
        <w:t xml:space="preserve"> pozemk</w:t>
      </w:r>
      <w:r>
        <w:rPr>
          <w:rFonts w:ascii="Verdana" w:hAnsi="Verdana"/>
          <w:b/>
          <w:sz w:val="20"/>
          <w:szCs w:val="20"/>
        </w:rPr>
        <w:t>ů</w:t>
      </w:r>
    </w:p>
    <w:p w:rsidR="00D12679" w:rsidRDefault="00D12679" w:rsidP="00321545">
      <w:pPr>
        <w:spacing w:after="0"/>
        <w:jc w:val="both"/>
        <w:rPr>
          <w:rFonts w:ascii="Verdana" w:hAnsi="Verdana"/>
          <w:sz w:val="20"/>
          <w:szCs w:val="20"/>
        </w:rPr>
      </w:pPr>
      <w:r w:rsidRPr="00274DEF">
        <w:rPr>
          <w:rFonts w:ascii="Verdana" w:hAnsi="Verdana"/>
          <w:sz w:val="20"/>
          <w:szCs w:val="20"/>
        </w:rPr>
        <w:t xml:space="preserve">Sportovně střelecký klub DDM Praha 5 požádal o pronájem pozemků v lokalitě u Velkého rybníka u zříceniny mlýna Cimburk pro volnočasovou akci pro rodiče s dětmi v termínu </w:t>
      </w:r>
      <w:r w:rsidR="00321545" w:rsidRPr="00274DEF">
        <w:rPr>
          <w:rFonts w:ascii="Verdana" w:hAnsi="Verdana"/>
          <w:sz w:val="20"/>
          <w:szCs w:val="20"/>
        </w:rPr>
        <w:t>1</w:t>
      </w:r>
      <w:r w:rsidR="00321545">
        <w:rPr>
          <w:rFonts w:ascii="Verdana" w:hAnsi="Verdana"/>
          <w:sz w:val="20"/>
          <w:szCs w:val="20"/>
        </w:rPr>
        <w:t>7</w:t>
      </w:r>
      <w:r w:rsidR="00321545" w:rsidRPr="00274DEF">
        <w:rPr>
          <w:rFonts w:ascii="Verdana" w:hAnsi="Verdana"/>
          <w:sz w:val="20"/>
          <w:szCs w:val="20"/>
        </w:rPr>
        <w:t>. 6</w:t>
      </w:r>
      <w:r w:rsidRPr="00274DEF">
        <w:rPr>
          <w:rFonts w:ascii="Verdana" w:hAnsi="Verdana"/>
          <w:sz w:val="20"/>
          <w:szCs w:val="20"/>
        </w:rPr>
        <w:t xml:space="preserve">. – </w:t>
      </w:r>
      <w:r w:rsidR="00321545">
        <w:rPr>
          <w:rFonts w:ascii="Verdana" w:hAnsi="Verdana"/>
          <w:sz w:val="20"/>
          <w:szCs w:val="20"/>
        </w:rPr>
        <w:t>28</w:t>
      </w:r>
      <w:r w:rsidR="00321545" w:rsidRPr="00274DEF">
        <w:rPr>
          <w:rFonts w:ascii="Verdana" w:hAnsi="Verdana"/>
          <w:sz w:val="20"/>
          <w:szCs w:val="20"/>
        </w:rPr>
        <w:t>. 6. 2020</w:t>
      </w:r>
      <w:r w:rsidRPr="00274DEF">
        <w:rPr>
          <w:rFonts w:ascii="Verdana" w:hAnsi="Verdana"/>
          <w:sz w:val="20"/>
          <w:szCs w:val="20"/>
        </w:rPr>
        <w:t>. Žadatel předpokládá účast cca 25 osob, které budou ubytovaní v</w:t>
      </w:r>
      <w:r>
        <w:rPr>
          <w:rFonts w:ascii="Verdana" w:hAnsi="Verdana"/>
          <w:sz w:val="20"/>
          <w:szCs w:val="20"/>
        </w:rPr>
        <w:t> </w:t>
      </w:r>
      <w:r w:rsidRPr="00274DEF">
        <w:rPr>
          <w:rFonts w:ascii="Verdana" w:hAnsi="Verdana"/>
          <w:sz w:val="20"/>
          <w:szCs w:val="20"/>
        </w:rPr>
        <w:t>polních stanech (4-5).</w:t>
      </w:r>
      <w:r>
        <w:rPr>
          <w:rFonts w:ascii="Verdana" w:hAnsi="Verdana"/>
          <w:sz w:val="20"/>
          <w:szCs w:val="20"/>
        </w:rPr>
        <w:t xml:space="preserve"> Smlouvu navrhujeme uzavřít, pokud bude z důvodu pandemie koronaviru konání akcí tohoto typu povoleno.</w:t>
      </w:r>
    </w:p>
    <w:p w:rsidR="00D12679" w:rsidRDefault="00D12679" w:rsidP="00321545">
      <w:pPr>
        <w:spacing w:after="0"/>
        <w:jc w:val="both"/>
        <w:rPr>
          <w:rFonts w:ascii="Verdana" w:hAnsi="Verdana"/>
          <w:b/>
          <w:sz w:val="20"/>
          <w:szCs w:val="20"/>
        </w:rPr>
      </w:pPr>
    </w:p>
    <w:p w:rsidR="00D12679" w:rsidRPr="0058174E" w:rsidRDefault="00D12679" w:rsidP="00321545">
      <w:pPr>
        <w:spacing w:after="0"/>
        <w:jc w:val="both"/>
        <w:rPr>
          <w:rFonts w:ascii="Verdana" w:hAnsi="Verdana"/>
          <w:b/>
          <w:sz w:val="20"/>
          <w:szCs w:val="20"/>
        </w:rPr>
      </w:pPr>
      <w:r w:rsidRPr="0058174E">
        <w:rPr>
          <w:rFonts w:ascii="Verdana" w:hAnsi="Verdana"/>
          <w:b/>
          <w:sz w:val="20"/>
          <w:szCs w:val="20"/>
        </w:rPr>
        <w:t>3/03 Záměr podpachtovat pozemek v </w:t>
      </w:r>
      <w:r w:rsidR="00321545" w:rsidRPr="0058174E">
        <w:rPr>
          <w:rFonts w:ascii="Verdana" w:hAnsi="Verdana"/>
          <w:b/>
          <w:sz w:val="20"/>
          <w:szCs w:val="20"/>
        </w:rPr>
        <w:t>k. ú.</w:t>
      </w:r>
      <w:r w:rsidRPr="0058174E">
        <w:rPr>
          <w:rFonts w:ascii="Verdana" w:hAnsi="Verdana"/>
          <w:b/>
          <w:sz w:val="20"/>
          <w:szCs w:val="20"/>
        </w:rPr>
        <w:t xml:space="preserve"> Medenice</w:t>
      </w:r>
    </w:p>
    <w:p w:rsidR="00D12679" w:rsidRPr="0058174E" w:rsidRDefault="00D12679" w:rsidP="00321545">
      <w:pPr>
        <w:spacing w:after="0"/>
        <w:jc w:val="both"/>
        <w:rPr>
          <w:rFonts w:ascii="Verdana" w:hAnsi="Verdana"/>
          <w:sz w:val="20"/>
          <w:szCs w:val="20"/>
        </w:rPr>
      </w:pPr>
      <w:r>
        <w:rPr>
          <w:rFonts w:ascii="Verdana" w:hAnsi="Verdana"/>
          <w:sz w:val="20"/>
          <w:szCs w:val="20"/>
        </w:rPr>
        <w:t xml:space="preserve">Odbor správy majetku obdržel žádost od pana Jakuba Vágnera na uzavření podpachtovní smlouvy </w:t>
      </w:r>
      <w:r w:rsidRPr="0058174E">
        <w:rPr>
          <w:rFonts w:ascii="Verdana" w:hAnsi="Verdana"/>
          <w:sz w:val="20"/>
          <w:szCs w:val="20"/>
        </w:rPr>
        <w:t xml:space="preserve">na pozemek </w:t>
      </w:r>
      <w:r w:rsidR="00321545" w:rsidRPr="0058174E">
        <w:rPr>
          <w:rFonts w:ascii="Verdana" w:hAnsi="Verdana"/>
          <w:sz w:val="20"/>
          <w:szCs w:val="20"/>
        </w:rPr>
        <w:t>p. č.</w:t>
      </w:r>
      <w:r w:rsidRPr="0058174E">
        <w:rPr>
          <w:rFonts w:ascii="Verdana" w:hAnsi="Verdana"/>
          <w:sz w:val="20"/>
          <w:szCs w:val="20"/>
        </w:rPr>
        <w:t xml:space="preserve"> 1266 v </w:t>
      </w:r>
      <w:r w:rsidR="00321545" w:rsidRPr="0058174E">
        <w:rPr>
          <w:rFonts w:ascii="Verdana" w:hAnsi="Verdana"/>
          <w:sz w:val="20"/>
          <w:szCs w:val="20"/>
        </w:rPr>
        <w:t>k. ú.</w:t>
      </w:r>
      <w:r w:rsidRPr="0058174E">
        <w:rPr>
          <w:rFonts w:ascii="Verdana" w:hAnsi="Verdana"/>
          <w:sz w:val="20"/>
          <w:szCs w:val="20"/>
        </w:rPr>
        <w:t xml:space="preserve"> Paběnice o výměře 1480 m2. Jedná se o</w:t>
      </w:r>
      <w:r>
        <w:rPr>
          <w:rFonts w:ascii="Verdana" w:hAnsi="Verdana"/>
          <w:sz w:val="20"/>
          <w:szCs w:val="20"/>
        </w:rPr>
        <w:t> </w:t>
      </w:r>
      <w:r w:rsidRPr="0058174E">
        <w:rPr>
          <w:rFonts w:ascii="Verdana" w:hAnsi="Verdana"/>
          <w:sz w:val="20"/>
          <w:szCs w:val="20"/>
        </w:rPr>
        <w:t xml:space="preserve">pozemek, který </w:t>
      </w:r>
      <w:r>
        <w:rPr>
          <w:rFonts w:ascii="Verdana" w:hAnsi="Verdana"/>
          <w:sz w:val="20"/>
          <w:szCs w:val="20"/>
        </w:rPr>
        <w:t xml:space="preserve"> je </w:t>
      </w:r>
      <w:r w:rsidRPr="0058174E">
        <w:rPr>
          <w:rFonts w:ascii="Verdana" w:hAnsi="Verdana"/>
          <w:sz w:val="20"/>
          <w:szCs w:val="20"/>
        </w:rPr>
        <w:t>v katastru nemovitostí veden jako neplodná půda, ostatní plocha.</w:t>
      </w:r>
    </w:p>
    <w:p w:rsidR="00D12679" w:rsidRDefault="00D12679" w:rsidP="00321545">
      <w:pPr>
        <w:spacing w:after="0"/>
        <w:jc w:val="both"/>
        <w:rPr>
          <w:rFonts w:ascii="Verdana" w:hAnsi="Verdana"/>
          <w:b/>
          <w:sz w:val="20"/>
          <w:szCs w:val="20"/>
        </w:rPr>
      </w:pPr>
    </w:p>
    <w:p w:rsidR="00D12679" w:rsidRDefault="00D12679" w:rsidP="00321545">
      <w:pPr>
        <w:spacing w:after="0"/>
        <w:jc w:val="both"/>
        <w:rPr>
          <w:rFonts w:ascii="Verdana" w:hAnsi="Verdana"/>
          <w:b/>
          <w:sz w:val="20"/>
          <w:szCs w:val="20"/>
        </w:rPr>
      </w:pPr>
      <w:r>
        <w:rPr>
          <w:rFonts w:ascii="Verdana" w:hAnsi="Verdana"/>
          <w:b/>
          <w:sz w:val="20"/>
          <w:szCs w:val="20"/>
        </w:rPr>
        <w:t>3/04 Důvodová zpráva nebyla přiložena, neboť obsahuje citlivé údaje</w:t>
      </w:r>
    </w:p>
    <w:p w:rsidR="00321545" w:rsidRDefault="00321545" w:rsidP="00321545">
      <w:pPr>
        <w:spacing w:after="0"/>
        <w:jc w:val="both"/>
        <w:rPr>
          <w:rFonts w:ascii="Verdana" w:hAnsi="Verdana"/>
          <w:b/>
          <w:sz w:val="20"/>
          <w:szCs w:val="20"/>
        </w:rPr>
      </w:pPr>
    </w:p>
    <w:p w:rsidR="00D12679" w:rsidRDefault="00D12679" w:rsidP="00321545">
      <w:pPr>
        <w:spacing w:after="0"/>
        <w:jc w:val="both"/>
        <w:rPr>
          <w:rFonts w:ascii="Verdana" w:hAnsi="Verdana"/>
          <w:b/>
          <w:sz w:val="20"/>
          <w:szCs w:val="20"/>
        </w:rPr>
      </w:pPr>
      <w:r>
        <w:rPr>
          <w:rFonts w:ascii="Verdana" w:hAnsi="Verdana"/>
          <w:b/>
          <w:sz w:val="20"/>
          <w:szCs w:val="20"/>
        </w:rPr>
        <w:t>3/05 Důvodová zpráva nebyla přiložena, neboť obsahuje citlivé údaje</w:t>
      </w:r>
    </w:p>
    <w:p w:rsidR="00321545" w:rsidRDefault="00321545" w:rsidP="00321545">
      <w:pPr>
        <w:spacing w:after="0"/>
        <w:jc w:val="both"/>
        <w:rPr>
          <w:rFonts w:ascii="Verdana" w:hAnsi="Verdana"/>
          <w:b/>
          <w:sz w:val="20"/>
          <w:szCs w:val="20"/>
        </w:rPr>
      </w:pPr>
    </w:p>
    <w:p w:rsidR="00D12679" w:rsidRDefault="00D12679" w:rsidP="00321545">
      <w:pPr>
        <w:spacing w:after="0"/>
        <w:jc w:val="both"/>
        <w:rPr>
          <w:rFonts w:ascii="Verdana" w:hAnsi="Verdana"/>
          <w:b/>
          <w:sz w:val="20"/>
          <w:szCs w:val="20"/>
        </w:rPr>
      </w:pPr>
      <w:r>
        <w:rPr>
          <w:rFonts w:ascii="Verdana" w:hAnsi="Verdana"/>
          <w:b/>
          <w:sz w:val="20"/>
          <w:szCs w:val="20"/>
        </w:rPr>
        <w:t>3/06 Důvodová zpráva nebyla přiložena, neboť obsahuje citlivé údaje</w:t>
      </w:r>
    </w:p>
    <w:p w:rsidR="00321545" w:rsidRDefault="00321545" w:rsidP="00321545">
      <w:pPr>
        <w:spacing w:after="0"/>
        <w:jc w:val="both"/>
        <w:rPr>
          <w:rFonts w:ascii="Verdana" w:hAnsi="Verdana"/>
          <w:b/>
          <w:sz w:val="20"/>
          <w:szCs w:val="20"/>
        </w:rPr>
      </w:pPr>
    </w:p>
    <w:p w:rsidR="00D12679" w:rsidRDefault="00D12679" w:rsidP="00321545">
      <w:pPr>
        <w:spacing w:after="0"/>
        <w:jc w:val="both"/>
        <w:rPr>
          <w:rFonts w:ascii="Verdana" w:hAnsi="Verdana"/>
          <w:b/>
          <w:sz w:val="20"/>
          <w:szCs w:val="20"/>
        </w:rPr>
      </w:pPr>
      <w:r>
        <w:rPr>
          <w:rFonts w:ascii="Verdana" w:hAnsi="Verdana"/>
          <w:b/>
          <w:sz w:val="20"/>
          <w:szCs w:val="20"/>
        </w:rPr>
        <w:t>3/07 Důvodová zpráva nebyla přiložena, neboť obsahuje citlivé údaje</w:t>
      </w:r>
    </w:p>
    <w:p w:rsidR="00321545" w:rsidRDefault="00321545" w:rsidP="00321545">
      <w:pPr>
        <w:spacing w:after="0"/>
        <w:jc w:val="both"/>
        <w:rPr>
          <w:rFonts w:ascii="Verdana" w:hAnsi="Verdana"/>
          <w:b/>
          <w:sz w:val="20"/>
          <w:szCs w:val="20"/>
        </w:rPr>
      </w:pPr>
    </w:p>
    <w:p w:rsidR="00D12679" w:rsidRDefault="00D12679" w:rsidP="00321545">
      <w:pPr>
        <w:spacing w:after="0"/>
        <w:jc w:val="both"/>
        <w:rPr>
          <w:rFonts w:ascii="Verdana" w:hAnsi="Verdana"/>
          <w:b/>
          <w:sz w:val="20"/>
          <w:szCs w:val="20"/>
        </w:rPr>
      </w:pPr>
      <w:r>
        <w:rPr>
          <w:rFonts w:ascii="Verdana" w:hAnsi="Verdana"/>
          <w:b/>
          <w:sz w:val="20"/>
          <w:szCs w:val="20"/>
        </w:rPr>
        <w:t>3/08 Důvodová zpráva nebyla přiložena, neboť obsahuje citlivé údaje</w:t>
      </w:r>
    </w:p>
    <w:p w:rsidR="003320E7" w:rsidRDefault="003320E7" w:rsidP="00321545">
      <w:pPr>
        <w:spacing w:after="0"/>
        <w:jc w:val="both"/>
        <w:rPr>
          <w:rFonts w:ascii="Verdana" w:hAnsi="Verdana"/>
          <w:b/>
          <w:sz w:val="20"/>
          <w:szCs w:val="20"/>
        </w:rPr>
      </w:pPr>
    </w:p>
    <w:p w:rsidR="00D12679" w:rsidRDefault="00D12679" w:rsidP="00321545">
      <w:pPr>
        <w:spacing w:after="0"/>
        <w:jc w:val="both"/>
        <w:rPr>
          <w:rFonts w:ascii="Verdana" w:hAnsi="Verdana"/>
          <w:b/>
          <w:sz w:val="20"/>
          <w:szCs w:val="20"/>
        </w:rPr>
      </w:pPr>
      <w:r>
        <w:rPr>
          <w:rFonts w:ascii="Verdana" w:hAnsi="Verdana"/>
          <w:b/>
          <w:sz w:val="20"/>
          <w:szCs w:val="20"/>
        </w:rPr>
        <w:t>3/09 Uzavření dodatku k nájemní smlouvě (pí Dražanová)</w:t>
      </w:r>
    </w:p>
    <w:p w:rsidR="00D12679" w:rsidRPr="00B2578A" w:rsidRDefault="00D12679" w:rsidP="00321545">
      <w:pPr>
        <w:spacing w:after="0"/>
        <w:jc w:val="both"/>
        <w:rPr>
          <w:rFonts w:ascii="Verdana" w:hAnsi="Verdana"/>
          <w:sz w:val="20"/>
          <w:szCs w:val="20"/>
        </w:rPr>
      </w:pPr>
      <w:r>
        <w:rPr>
          <w:rFonts w:ascii="Verdana" w:hAnsi="Verdana"/>
          <w:sz w:val="20"/>
          <w:szCs w:val="20"/>
        </w:rPr>
        <w:t xml:space="preserve">Nájemce prostor sloužících podnikání v domě </w:t>
      </w:r>
      <w:r w:rsidR="00321545">
        <w:rPr>
          <w:rFonts w:ascii="Verdana" w:hAnsi="Verdana"/>
          <w:sz w:val="20"/>
          <w:szCs w:val="20"/>
        </w:rPr>
        <w:t>č. p.</w:t>
      </w:r>
      <w:r>
        <w:rPr>
          <w:rFonts w:ascii="Verdana" w:hAnsi="Verdana"/>
          <w:sz w:val="20"/>
          <w:szCs w:val="20"/>
        </w:rPr>
        <w:t xml:space="preserve"> 34, Barborská ul., Kutná Hora paní Jaroslava Dražanová požádala o snížení nájemného za rok 2020 o 1/12 ročního nájemného z důvodu opravy pronajatých prostor, které nemohla v měsíci únoru a březnu užívat. </w:t>
      </w:r>
    </w:p>
    <w:p w:rsidR="00D12679" w:rsidRDefault="00D12679" w:rsidP="00321545">
      <w:pPr>
        <w:spacing w:after="0"/>
        <w:jc w:val="both"/>
        <w:rPr>
          <w:rFonts w:ascii="Verdana" w:hAnsi="Verdana"/>
          <w:b/>
          <w:sz w:val="20"/>
          <w:szCs w:val="20"/>
        </w:rPr>
      </w:pPr>
    </w:p>
    <w:p w:rsidR="00D12679" w:rsidRDefault="00D12679" w:rsidP="00321545">
      <w:pPr>
        <w:spacing w:after="0"/>
        <w:jc w:val="both"/>
        <w:rPr>
          <w:rFonts w:ascii="Verdana" w:hAnsi="Verdana"/>
          <w:b/>
          <w:sz w:val="20"/>
          <w:szCs w:val="20"/>
        </w:rPr>
      </w:pPr>
      <w:r>
        <w:rPr>
          <w:rFonts w:ascii="Verdana" w:hAnsi="Verdana"/>
          <w:b/>
          <w:sz w:val="20"/>
          <w:szCs w:val="20"/>
        </w:rPr>
        <w:t xml:space="preserve">3/50  Zřízení VB zařízení distribuční soustavy na pozemcích v k. ú. Sedlec </w:t>
      </w:r>
      <w:r>
        <w:rPr>
          <w:rFonts w:ascii="Verdana" w:hAnsi="Verdana"/>
          <w:b/>
          <w:sz w:val="20"/>
          <w:szCs w:val="20"/>
        </w:rPr>
        <w:br/>
        <w:t>u Kutné Hory a v k. ú. Neškaredice (ČEZ Distribuce a.s.)</w:t>
      </w:r>
    </w:p>
    <w:p w:rsidR="00D12679" w:rsidRDefault="00D12679" w:rsidP="00321545">
      <w:pPr>
        <w:spacing w:after="0"/>
        <w:jc w:val="both"/>
        <w:rPr>
          <w:rFonts w:ascii="Verdana" w:hAnsi="Verdana"/>
          <w:sz w:val="20"/>
          <w:szCs w:val="20"/>
        </w:rPr>
      </w:pPr>
      <w:r w:rsidRPr="006B1D37">
        <w:rPr>
          <w:rFonts w:ascii="Verdana" w:hAnsi="Verdana"/>
          <w:sz w:val="20"/>
          <w:szCs w:val="20"/>
        </w:rPr>
        <w:t>Žadatel je investorem stavby distribuční soustavy, spočívající v</w:t>
      </w:r>
      <w:r>
        <w:rPr>
          <w:rFonts w:ascii="Verdana" w:hAnsi="Verdana"/>
          <w:sz w:val="20"/>
          <w:szCs w:val="20"/>
        </w:rPr>
        <w:t xml:space="preserve"> přeložce kabelu nn v rámci stavby parkoviště v Opletalově ulici a dále stavby distribuční soustavy Neškaredice čp. 56 – el. přípojka knn, vše </w:t>
      </w:r>
      <w:r w:rsidRPr="006B1D37">
        <w:rPr>
          <w:rFonts w:ascii="Verdana" w:hAnsi="Verdana"/>
          <w:sz w:val="20"/>
          <w:szCs w:val="20"/>
        </w:rPr>
        <w:t>na pozemcích města v k.</w:t>
      </w:r>
      <w:r>
        <w:rPr>
          <w:rFonts w:ascii="Verdana" w:hAnsi="Verdana"/>
          <w:sz w:val="20"/>
          <w:szCs w:val="20"/>
        </w:rPr>
        <w:t xml:space="preserve"> </w:t>
      </w:r>
      <w:r w:rsidRPr="006B1D37">
        <w:rPr>
          <w:rFonts w:ascii="Verdana" w:hAnsi="Verdana"/>
          <w:sz w:val="20"/>
          <w:szCs w:val="20"/>
        </w:rPr>
        <w:t xml:space="preserve">ú. </w:t>
      </w:r>
      <w:r>
        <w:rPr>
          <w:rFonts w:ascii="Verdana" w:hAnsi="Verdana"/>
          <w:sz w:val="20"/>
          <w:szCs w:val="20"/>
        </w:rPr>
        <w:t xml:space="preserve">Sedlec u KH </w:t>
      </w:r>
      <w:r>
        <w:rPr>
          <w:rFonts w:ascii="Verdana" w:hAnsi="Verdana"/>
          <w:sz w:val="20"/>
          <w:szCs w:val="20"/>
        </w:rPr>
        <w:br/>
        <w:t>a Neškaredice</w:t>
      </w:r>
      <w:r w:rsidRPr="006B1D37">
        <w:rPr>
          <w:rFonts w:ascii="Verdana" w:hAnsi="Verdana"/>
          <w:sz w:val="20"/>
          <w:szCs w:val="20"/>
        </w:rPr>
        <w:t>.</w:t>
      </w:r>
      <w:r>
        <w:rPr>
          <w:rFonts w:ascii="Verdana" w:hAnsi="Verdana"/>
          <w:sz w:val="20"/>
          <w:szCs w:val="20"/>
        </w:rPr>
        <w:t xml:space="preserve">  </w:t>
      </w:r>
    </w:p>
    <w:p w:rsidR="00D12679" w:rsidRDefault="00D12679" w:rsidP="00321545">
      <w:pPr>
        <w:spacing w:after="0"/>
        <w:jc w:val="both"/>
        <w:rPr>
          <w:rFonts w:ascii="Verdana" w:hAnsi="Verdana"/>
          <w:sz w:val="20"/>
          <w:szCs w:val="20"/>
        </w:rPr>
      </w:pPr>
    </w:p>
    <w:p w:rsidR="00D12679" w:rsidRPr="00F97FD9" w:rsidRDefault="00D12679" w:rsidP="00321545">
      <w:pPr>
        <w:spacing w:after="0"/>
        <w:jc w:val="both"/>
        <w:rPr>
          <w:rFonts w:ascii="Verdana" w:hAnsi="Verdana"/>
          <w:b/>
          <w:sz w:val="20"/>
          <w:szCs w:val="20"/>
        </w:rPr>
      </w:pPr>
      <w:r w:rsidRPr="00F97FD9">
        <w:rPr>
          <w:rFonts w:ascii="Verdana" w:hAnsi="Verdana"/>
          <w:b/>
          <w:sz w:val="20"/>
          <w:szCs w:val="20"/>
        </w:rPr>
        <w:lastRenderedPageBreak/>
        <w:t>3/51</w:t>
      </w:r>
      <w:r w:rsidRPr="00F97FD9">
        <w:rPr>
          <w:rFonts w:ascii="Verdana" w:hAnsi="Verdana"/>
          <w:sz w:val="20"/>
          <w:szCs w:val="20"/>
        </w:rPr>
        <w:t xml:space="preserve"> </w:t>
      </w:r>
      <w:r w:rsidRPr="00F97FD9">
        <w:rPr>
          <w:rFonts w:ascii="Verdana" w:hAnsi="Verdana"/>
          <w:b/>
          <w:sz w:val="20"/>
          <w:szCs w:val="20"/>
        </w:rPr>
        <w:t>Záměr na prodej části pozemku v </w:t>
      </w:r>
      <w:r w:rsidR="00321545" w:rsidRPr="00F97FD9">
        <w:rPr>
          <w:rFonts w:ascii="Verdana" w:hAnsi="Verdana"/>
          <w:b/>
          <w:sz w:val="20"/>
          <w:szCs w:val="20"/>
        </w:rPr>
        <w:t>k. ú.</w:t>
      </w:r>
      <w:r w:rsidRPr="00F97FD9">
        <w:rPr>
          <w:rFonts w:ascii="Verdana" w:hAnsi="Verdana"/>
          <w:b/>
          <w:sz w:val="20"/>
          <w:szCs w:val="20"/>
        </w:rPr>
        <w:t xml:space="preserve"> Kutná Hora (ČEZ Distribuce)</w:t>
      </w:r>
    </w:p>
    <w:p w:rsidR="00D12679" w:rsidRDefault="00D12679" w:rsidP="00321545">
      <w:pPr>
        <w:spacing w:after="0"/>
        <w:jc w:val="both"/>
        <w:rPr>
          <w:rFonts w:ascii="Verdana" w:hAnsi="Verdana"/>
          <w:sz w:val="20"/>
          <w:szCs w:val="20"/>
        </w:rPr>
      </w:pPr>
      <w:r>
        <w:rPr>
          <w:rFonts w:ascii="Verdana" w:hAnsi="Verdana"/>
          <w:sz w:val="20"/>
          <w:szCs w:val="20"/>
        </w:rPr>
        <w:t>S</w:t>
      </w:r>
      <w:r w:rsidRPr="00125F3F">
        <w:rPr>
          <w:rFonts w:ascii="Verdana" w:hAnsi="Verdana"/>
          <w:sz w:val="20"/>
          <w:szCs w:val="20"/>
        </w:rPr>
        <w:t xml:space="preserve">polečnost ČEZ Distribuce, a. s. </w:t>
      </w:r>
      <w:r>
        <w:rPr>
          <w:rFonts w:ascii="Verdana" w:hAnsi="Verdana"/>
          <w:sz w:val="20"/>
          <w:szCs w:val="20"/>
        </w:rPr>
        <w:t xml:space="preserve">požádala </w:t>
      </w:r>
      <w:r w:rsidRPr="00125F3F">
        <w:rPr>
          <w:rFonts w:ascii="Verdana" w:hAnsi="Verdana"/>
          <w:sz w:val="20"/>
          <w:szCs w:val="20"/>
        </w:rPr>
        <w:t>o koupi části pozemku p. č. 4126/41 (trvalý travní porost) o výměře cca 40 m</w:t>
      </w:r>
      <w:r w:rsidRPr="00125F3F">
        <w:rPr>
          <w:rFonts w:ascii="Verdana" w:hAnsi="Verdana"/>
          <w:sz w:val="20"/>
          <w:szCs w:val="20"/>
          <w:vertAlign w:val="superscript"/>
        </w:rPr>
        <w:t>2</w:t>
      </w:r>
      <w:r w:rsidRPr="00125F3F">
        <w:rPr>
          <w:rFonts w:ascii="Verdana" w:hAnsi="Verdana"/>
          <w:sz w:val="20"/>
          <w:szCs w:val="20"/>
        </w:rPr>
        <w:t xml:space="preserve"> v k. ú. Kutná Hora. Záměrem společnosti je vybudovat zde novou transformační stanici (TS).</w:t>
      </w:r>
    </w:p>
    <w:p w:rsidR="00D12679" w:rsidRPr="00F24AF3" w:rsidRDefault="00D12679" w:rsidP="00321545">
      <w:pPr>
        <w:spacing w:after="0"/>
        <w:jc w:val="both"/>
        <w:rPr>
          <w:rFonts w:ascii="Verdana" w:hAnsi="Verdana"/>
          <w:b/>
          <w:color w:val="FF0000"/>
          <w:sz w:val="20"/>
          <w:szCs w:val="20"/>
        </w:rPr>
      </w:pPr>
    </w:p>
    <w:p w:rsidR="00D12679" w:rsidRPr="00F24AF3" w:rsidRDefault="00D12679" w:rsidP="00321545">
      <w:pPr>
        <w:spacing w:after="0"/>
        <w:jc w:val="both"/>
        <w:rPr>
          <w:rFonts w:ascii="Verdana" w:hAnsi="Verdana"/>
          <w:b/>
          <w:color w:val="FF0000"/>
          <w:sz w:val="20"/>
          <w:szCs w:val="20"/>
        </w:rPr>
      </w:pPr>
      <w:r w:rsidRPr="00F97FD9">
        <w:rPr>
          <w:rFonts w:ascii="Verdana" w:hAnsi="Verdana"/>
          <w:b/>
          <w:sz w:val="20"/>
          <w:szCs w:val="20"/>
        </w:rPr>
        <w:t>3/52 Prodej části pozemku v k. ú. KH (pí Pekárková)</w:t>
      </w:r>
    </w:p>
    <w:p w:rsidR="00D12679" w:rsidRDefault="00D12679" w:rsidP="00321545">
      <w:pPr>
        <w:spacing w:after="0"/>
        <w:jc w:val="both"/>
        <w:rPr>
          <w:rFonts w:ascii="Verdana" w:hAnsi="Verdana"/>
          <w:b/>
          <w:sz w:val="20"/>
          <w:szCs w:val="20"/>
        </w:rPr>
      </w:pPr>
      <w:r>
        <w:rPr>
          <w:rFonts w:ascii="Verdana" w:hAnsi="Verdana"/>
          <w:sz w:val="20"/>
          <w:szCs w:val="20"/>
        </w:rPr>
        <w:t>P</w:t>
      </w:r>
      <w:r w:rsidRPr="000B618B">
        <w:rPr>
          <w:rFonts w:ascii="Verdana" w:hAnsi="Verdana"/>
          <w:sz w:val="20"/>
          <w:szCs w:val="20"/>
        </w:rPr>
        <w:t>aní Pekárkov</w:t>
      </w:r>
      <w:r>
        <w:rPr>
          <w:rFonts w:ascii="Verdana" w:hAnsi="Verdana"/>
          <w:sz w:val="20"/>
          <w:szCs w:val="20"/>
        </w:rPr>
        <w:t>á požádala</w:t>
      </w:r>
      <w:r w:rsidRPr="000B618B">
        <w:rPr>
          <w:rFonts w:ascii="Verdana" w:hAnsi="Verdana"/>
          <w:sz w:val="20"/>
          <w:szCs w:val="20"/>
        </w:rPr>
        <w:t xml:space="preserve"> o koupi části pozemku p. č. 672/1 (zahrada) o výměře 233 m</w:t>
      </w:r>
      <w:r w:rsidRPr="000B618B">
        <w:rPr>
          <w:rFonts w:ascii="Verdana" w:hAnsi="Verdana"/>
          <w:sz w:val="20"/>
          <w:szCs w:val="20"/>
          <w:vertAlign w:val="superscript"/>
        </w:rPr>
        <w:t>2</w:t>
      </w:r>
      <w:r w:rsidRPr="000B618B">
        <w:rPr>
          <w:rFonts w:ascii="Verdana" w:hAnsi="Verdana"/>
          <w:sz w:val="20"/>
          <w:szCs w:val="20"/>
        </w:rPr>
        <w:t xml:space="preserve"> </w:t>
      </w:r>
      <w:r>
        <w:rPr>
          <w:rFonts w:ascii="Verdana" w:hAnsi="Verdana"/>
          <w:sz w:val="20"/>
          <w:szCs w:val="20"/>
        </w:rPr>
        <w:br/>
        <w:t xml:space="preserve">v k. ú. Kutná Hora. </w:t>
      </w:r>
      <w:r w:rsidRPr="000B618B">
        <w:rPr>
          <w:rFonts w:ascii="Verdana" w:hAnsi="Verdana"/>
          <w:sz w:val="20"/>
          <w:szCs w:val="20"/>
        </w:rPr>
        <w:t xml:space="preserve">Jedná se o část městského pozemku, která tvoří funkční celek </w:t>
      </w:r>
      <w:r>
        <w:rPr>
          <w:rFonts w:ascii="Verdana" w:hAnsi="Verdana"/>
          <w:sz w:val="20"/>
          <w:szCs w:val="20"/>
        </w:rPr>
        <w:br/>
      </w:r>
      <w:r w:rsidRPr="000B618B">
        <w:rPr>
          <w:rFonts w:ascii="Verdana" w:hAnsi="Verdana"/>
          <w:sz w:val="20"/>
          <w:szCs w:val="20"/>
        </w:rPr>
        <w:t>se zahradou a rodinným domem ve spoluvlastnictví žadatelky</w:t>
      </w:r>
      <w:r>
        <w:rPr>
          <w:rFonts w:ascii="Verdana" w:hAnsi="Verdana"/>
          <w:sz w:val="20"/>
          <w:szCs w:val="20"/>
        </w:rPr>
        <w:t>.</w:t>
      </w:r>
    </w:p>
    <w:p w:rsidR="00D12679" w:rsidRDefault="00D12679" w:rsidP="00321545">
      <w:pPr>
        <w:spacing w:after="0"/>
        <w:jc w:val="both"/>
        <w:rPr>
          <w:rFonts w:ascii="Verdana" w:hAnsi="Verdana"/>
          <w:sz w:val="20"/>
          <w:szCs w:val="20"/>
        </w:rPr>
      </w:pPr>
    </w:p>
    <w:p w:rsidR="00D12679" w:rsidRPr="00CC47EF" w:rsidRDefault="00D12679" w:rsidP="00321545">
      <w:pPr>
        <w:spacing w:after="0"/>
        <w:jc w:val="both"/>
        <w:rPr>
          <w:rFonts w:ascii="Verdana" w:hAnsi="Verdana"/>
          <w:b/>
          <w:sz w:val="20"/>
          <w:szCs w:val="20"/>
        </w:rPr>
      </w:pPr>
      <w:r w:rsidRPr="00CC47EF">
        <w:rPr>
          <w:rFonts w:ascii="Verdana" w:hAnsi="Verdana"/>
          <w:b/>
          <w:sz w:val="20"/>
          <w:szCs w:val="20"/>
        </w:rPr>
        <w:t xml:space="preserve">3/53 </w:t>
      </w:r>
      <w:r w:rsidR="00354B42" w:rsidRPr="00354B42">
        <w:rPr>
          <w:rFonts w:ascii="Verdana" w:eastAsia="Calibri" w:hAnsi="Verdana"/>
          <w:b/>
          <w:bCs/>
          <w:sz w:val="18"/>
          <w:szCs w:val="18"/>
        </w:rPr>
        <w:t>Informativní zpráva – připomínková destička (Ak.</w:t>
      </w:r>
      <w:r w:rsidR="00321545">
        <w:rPr>
          <w:rFonts w:ascii="Verdana" w:eastAsia="Calibri" w:hAnsi="Verdana"/>
          <w:b/>
          <w:bCs/>
          <w:sz w:val="18"/>
          <w:szCs w:val="18"/>
        </w:rPr>
        <w:t xml:space="preserve"> </w:t>
      </w:r>
      <w:r w:rsidR="00354B42" w:rsidRPr="00354B42">
        <w:rPr>
          <w:rFonts w:ascii="Verdana" w:eastAsia="Calibri" w:hAnsi="Verdana"/>
          <w:b/>
          <w:bCs/>
          <w:sz w:val="18"/>
          <w:szCs w:val="18"/>
        </w:rPr>
        <w:t>Arch.</w:t>
      </w:r>
      <w:r w:rsidR="00321545">
        <w:rPr>
          <w:rFonts w:ascii="Verdana" w:eastAsia="Calibri" w:hAnsi="Verdana"/>
          <w:b/>
          <w:bCs/>
          <w:sz w:val="18"/>
          <w:szCs w:val="18"/>
        </w:rPr>
        <w:t xml:space="preserve"> </w:t>
      </w:r>
      <w:r w:rsidR="00354B42" w:rsidRPr="00354B42">
        <w:rPr>
          <w:rFonts w:ascii="Verdana" w:eastAsia="Calibri" w:hAnsi="Verdana"/>
          <w:b/>
          <w:bCs/>
          <w:sz w:val="18"/>
          <w:szCs w:val="18"/>
        </w:rPr>
        <w:t>Kotas)</w:t>
      </w:r>
      <w:r w:rsidR="00354B42">
        <w:rPr>
          <w:rFonts w:ascii="Verdana" w:eastAsia="Calibri" w:hAnsi="Verdana"/>
          <w:bCs/>
          <w:sz w:val="18"/>
          <w:szCs w:val="18"/>
        </w:rPr>
        <w:t xml:space="preserve">   </w:t>
      </w:r>
    </w:p>
    <w:p w:rsidR="00D12679" w:rsidRDefault="00D12679" w:rsidP="00321545">
      <w:pPr>
        <w:spacing w:after="0"/>
        <w:jc w:val="both"/>
        <w:rPr>
          <w:rFonts w:ascii="Verdana" w:hAnsi="Verdana"/>
          <w:sz w:val="20"/>
          <w:szCs w:val="20"/>
        </w:rPr>
      </w:pPr>
      <w:r>
        <w:rPr>
          <w:rFonts w:ascii="Verdana" w:hAnsi="Verdana"/>
          <w:sz w:val="20"/>
          <w:szCs w:val="20"/>
        </w:rPr>
        <w:t>O</w:t>
      </w:r>
      <w:r w:rsidRPr="00097602">
        <w:rPr>
          <w:rFonts w:ascii="Verdana" w:hAnsi="Verdana"/>
          <w:sz w:val="20"/>
          <w:szCs w:val="20"/>
        </w:rPr>
        <w:t xml:space="preserve">dbor správy majetku obdržel </w:t>
      </w:r>
      <w:r>
        <w:rPr>
          <w:rFonts w:ascii="Verdana" w:hAnsi="Verdana"/>
          <w:sz w:val="20"/>
          <w:szCs w:val="20"/>
        </w:rPr>
        <w:t xml:space="preserve"> </w:t>
      </w:r>
      <w:r w:rsidRPr="00097602">
        <w:rPr>
          <w:rFonts w:ascii="Verdana" w:hAnsi="Verdana"/>
          <w:sz w:val="20"/>
          <w:szCs w:val="20"/>
        </w:rPr>
        <w:t xml:space="preserve">žádost </w:t>
      </w:r>
      <w:r>
        <w:rPr>
          <w:rFonts w:ascii="Verdana" w:hAnsi="Verdana"/>
          <w:sz w:val="20"/>
          <w:szCs w:val="20"/>
        </w:rPr>
        <w:t xml:space="preserve">pana Ak. arch. Tomáše Kotase </w:t>
      </w:r>
      <w:r w:rsidRPr="00097602">
        <w:rPr>
          <w:rFonts w:ascii="Verdana" w:hAnsi="Verdana"/>
          <w:sz w:val="20"/>
          <w:szCs w:val="20"/>
        </w:rPr>
        <w:t>o</w:t>
      </w:r>
      <w:r>
        <w:rPr>
          <w:rFonts w:ascii="Verdana" w:hAnsi="Verdana"/>
          <w:sz w:val="20"/>
          <w:szCs w:val="20"/>
        </w:rPr>
        <w:t> </w:t>
      </w:r>
      <w:r w:rsidRPr="00097602">
        <w:rPr>
          <w:rFonts w:ascii="Verdana" w:hAnsi="Verdana"/>
          <w:sz w:val="20"/>
          <w:szCs w:val="20"/>
        </w:rPr>
        <w:t>umístění destičky na pozemku města</w:t>
      </w:r>
      <w:r>
        <w:rPr>
          <w:rFonts w:ascii="Verdana" w:hAnsi="Verdana"/>
          <w:sz w:val="20"/>
          <w:szCs w:val="20"/>
        </w:rPr>
        <w:t xml:space="preserve"> </w:t>
      </w:r>
      <w:r w:rsidR="00321545">
        <w:rPr>
          <w:rFonts w:ascii="Verdana" w:hAnsi="Verdana"/>
          <w:sz w:val="20"/>
          <w:szCs w:val="20"/>
        </w:rPr>
        <w:t>p.</w:t>
      </w:r>
      <w:r w:rsidR="00321545" w:rsidRPr="00097602">
        <w:rPr>
          <w:rFonts w:ascii="Verdana" w:hAnsi="Verdana"/>
          <w:sz w:val="20"/>
          <w:szCs w:val="20"/>
        </w:rPr>
        <w:t xml:space="preserve"> č.</w:t>
      </w:r>
      <w:r w:rsidRPr="00097602">
        <w:rPr>
          <w:rFonts w:ascii="Verdana" w:hAnsi="Verdana"/>
          <w:sz w:val="20"/>
          <w:szCs w:val="20"/>
        </w:rPr>
        <w:t xml:space="preserve"> 3944 v k. ú. Kutná Hora</w:t>
      </w:r>
      <w:r>
        <w:rPr>
          <w:rFonts w:ascii="Verdana" w:hAnsi="Verdana"/>
          <w:sz w:val="20"/>
          <w:szCs w:val="20"/>
        </w:rPr>
        <w:t>.</w:t>
      </w:r>
      <w:r w:rsidRPr="00097602">
        <w:rPr>
          <w:rFonts w:ascii="Verdana" w:hAnsi="Verdana"/>
          <w:sz w:val="20"/>
          <w:szCs w:val="20"/>
        </w:rPr>
        <w:t xml:space="preserve"> Jedná se o destičku</w:t>
      </w:r>
      <w:r>
        <w:rPr>
          <w:rFonts w:ascii="Verdana" w:hAnsi="Verdana"/>
          <w:sz w:val="20"/>
          <w:szCs w:val="20"/>
        </w:rPr>
        <w:t xml:space="preserve"> </w:t>
      </w:r>
      <w:r w:rsidRPr="00097602">
        <w:rPr>
          <w:rFonts w:ascii="Verdana" w:hAnsi="Verdana"/>
          <w:sz w:val="20"/>
          <w:szCs w:val="20"/>
        </w:rPr>
        <w:t>s připomínkou hi</w:t>
      </w:r>
      <w:r>
        <w:rPr>
          <w:rFonts w:ascii="Verdana" w:hAnsi="Verdana"/>
          <w:sz w:val="20"/>
          <w:szCs w:val="20"/>
        </w:rPr>
        <w:t>storické události k 600. výročí husitské revoluce.</w:t>
      </w:r>
    </w:p>
    <w:p w:rsidR="00D12679" w:rsidRDefault="00D12679" w:rsidP="00321545">
      <w:pPr>
        <w:spacing w:after="0"/>
        <w:jc w:val="both"/>
        <w:rPr>
          <w:rFonts w:ascii="Verdana" w:hAnsi="Verdana"/>
          <w:sz w:val="20"/>
          <w:szCs w:val="20"/>
        </w:rPr>
      </w:pPr>
    </w:p>
    <w:p w:rsidR="00D12679" w:rsidRPr="00CC47EF" w:rsidRDefault="00D12679" w:rsidP="00321545">
      <w:pPr>
        <w:spacing w:after="0"/>
        <w:jc w:val="both"/>
        <w:rPr>
          <w:rFonts w:ascii="Verdana" w:hAnsi="Verdana"/>
          <w:b/>
          <w:sz w:val="20"/>
          <w:szCs w:val="20"/>
        </w:rPr>
      </w:pPr>
      <w:r w:rsidRPr="00CC47EF">
        <w:rPr>
          <w:rFonts w:ascii="Verdana" w:hAnsi="Verdana"/>
          <w:b/>
          <w:sz w:val="20"/>
          <w:szCs w:val="20"/>
        </w:rPr>
        <w:t>3/54 Nová pravidla prodeje majetku formou VŘ</w:t>
      </w:r>
    </w:p>
    <w:p w:rsidR="00D12679" w:rsidRDefault="00D12679" w:rsidP="00321545">
      <w:pPr>
        <w:autoSpaceDE w:val="0"/>
        <w:autoSpaceDN w:val="0"/>
        <w:adjustRightInd w:val="0"/>
        <w:spacing w:after="0"/>
        <w:jc w:val="both"/>
        <w:rPr>
          <w:rFonts w:ascii="Verdana" w:hAnsi="Verdana"/>
          <w:sz w:val="20"/>
          <w:szCs w:val="20"/>
        </w:rPr>
      </w:pPr>
      <w:r>
        <w:rPr>
          <w:rFonts w:ascii="Verdana" w:hAnsi="Verdana"/>
          <w:sz w:val="20"/>
          <w:szCs w:val="20"/>
        </w:rPr>
        <w:t xml:space="preserve">OSM zpracoval nová pravidla prodeje městského majetku. Pro zjednodušení orientace občana v těchto pravidlech navrhl odbor správy majetku sloučit pravidla pro prodej bytových, nebytových a ostatních nemovitostí do jednoho znění. </w:t>
      </w:r>
    </w:p>
    <w:p w:rsidR="00C635F0" w:rsidRDefault="00C635F0" w:rsidP="00321545">
      <w:pPr>
        <w:pStyle w:val="Bezmezer"/>
        <w:spacing w:line="276" w:lineRule="auto"/>
        <w:jc w:val="both"/>
        <w:rPr>
          <w:rFonts w:ascii="Verdana" w:hAnsi="Verdana"/>
          <w:sz w:val="20"/>
          <w:szCs w:val="20"/>
          <w:highlight w:val="yellow"/>
        </w:rPr>
      </w:pPr>
    </w:p>
    <w:p w:rsidR="00745EB4" w:rsidRPr="008221D2" w:rsidRDefault="00745EB4" w:rsidP="00321545">
      <w:pPr>
        <w:spacing w:after="0"/>
        <w:jc w:val="both"/>
        <w:rPr>
          <w:rFonts w:ascii="Verdana" w:hAnsi="Verdana"/>
          <w:b/>
          <w:sz w:val="20"/>
          <w:szCs w:val="20"/>
          <w:u w:val="single"/>
        </w:rPr>
      </w:pPr>
      <w:r w:rsidRPr="008221D2">
        <w:rPr>
          <w:rFonts w:ascii="Verdana" w:hAnsi="Verdana"/>
          <w:b/>
          <w:sz w:val="20"/>
          <w:szCs w:val="20"/>
          <w:u w:val="single"/>
        </w:rPr>
        <w:t>Odbor památkové péče, školství a kultury</w:t>
      </w:r>
    </w:p>
    <w:p w:rsidR="003F7D0F" w:rsidRPr="003F7D0F" w:rsidRDefault="003F7D0F" w:rsidP="00321545">
      <w:pPr>
        <w:spacing w:after="0"/>
        <w:jc w:val="both"/>
        <w:rPr>
          <w:rFonts w:ascii="Verdana" w:hAnsi="Verdana" w:cs="Times New Roman"/>
          <w:b/>
          <w:sz w:val="20"/>
          <w:szCs w:val="20"/>
        </w:rPr>
      </w:pPr>
      <w:r w:rsidRPr="003F7D0F">
        <w:rPr>
          <w:rFonts w:ascii="Verdana" w:hAnsi="Verdana" w:cs="Times New Roman"/>
          <w:b/>
          <w:sz w:val="20"/>
          <w:szCs w:val="20"/>
        </w:rPr>
        <w:t xml:space="preserve">4/01 </w:t>
      </w:r>
      <w:bookmarkStart w:id="0" w:name="Text9"/>
      <w:r w:rsidRPr="003F7D0F">
        <w:rPr>
          <w:rFonts w:ascii="Verdana" w:hAnsi="Verdana" w:cs="Times New Roman"/>
          <w:b/>
          <w:sz w:val="20"/>
          <w:szCs w:val="20"/>
        </w:rPr>
        <w:t>Obnovení provozu mateřských škol</w:t>
      </w:r>
      <w:bookmarkEnd w:id="0"/>
      <w:r w:rsidRPr="003F7D0F">
        <w:rPr>
          <w:rFonts w:ascii="Verdana" w:hAnsi="Verdana" w:cs="Times New Roman"/>
          <w:b/>
          <w:sz w:val="20"/>
          <w:szCs w:val="20"/>
        </w:rPr>
        <w:t>, Zrušení usnesení – úplata za předškolní vzdělávání</w:t>
      </w:r>
    </w:p>
    <w:p w:rsidR="003F7D0F" w:rsidRPr="003F7D0F" w:rsidRDefault="003F7D0F" w:rsidP="00321545">
      <w:pPr>
        <w:spacing w:after="0"/>
        <w:jc w:val="both"/>
        <w:rPr>
          <w:rFonts w:ascii="Verdana" w:hAnsi="Verdana" w:cs="Times New Roman"/>
          <w:sz w:val="20"/>
          <w:szCs w:val="20"/>
        </w:rPr>
      </w:pPr>
      <w:r w:rsidRPr="003F7D0F">
        <w:rPr>
          <w:rFonts w:ascii="Verdana" w:hAnsi="Verdana" w:cs="Times New Roman"/>
          <w:sz w:val="20"/>
          <w:szCs w:val="20"/>
        </w:rPr>
        <w:t xml:space="preserve">Obnovení provozu příspěvkových organizací Mateřské školy Kutná Hora, Benešova 149, Kutná Hora a Mateřská škola Pohádka, U Školky 340, Kutná Hora od pondělí 25. 5. 2020 v omezeném režimu s dodržováním nezbytných hygienických opatření. Zrušení usnesení k úplatě za předškolní vzdělávání v období uzavření mateřských škol. </w:t>
      </w:r>
    </w:p>
    <w:p w:rsidR="003F7D0F" w:rsidRPr="003F7D0F" w:rsidRDefault="003F7D0F" w:rsidP="00321545">
      <w:pPr>
        <w:spacing w:after="0"/>
        <w:jc w:val="both"/>
        <w:rPr>
          <w:rFonts w:ascii="Verdana" w:hAnsi="Verdana" w:cs="Times New Roman"/>
          <w:sz w:val="20"/>
          <w:szCs w:val="20"/>
        </w:rPr>
      </w:pPr>
    </w:p>
    <w:p w:rsidR="003F7D0F" w:rsidRPr="003F7D0F" w:rsidRDefault="003F7D0F" w:rsidP="00321545">
      <w:pPr>
        <w:spacing w:after="0"/>
        <w:jc w:val="both"/>
        <w:outlineLvl w:val="0"/>
        <w:rPr>
          <w:rFonts w:ascii="Verdana" w:hAnsi="Verdana" w:cs="Times New Roman"/>
          <w:b/>
          <w:sz w:val="20"/>
          <w:szCs w:val="20"/>
        </w:rPr>
      </w:pPr>
      <w:r w:rsidRPr="003F7D0F">
        <w:rPr>
          <w:rFonts w:ascii="Verdana" w:hAnsi="Verdana" w:cs="Times New Roman"/>
          <w:b/>
          <w:sz w:val="20"/>
          <w:szCs w:val="20"/>
        </w:rPr>
        <w:t>4/02 Rozpočtové opatření OPPŠK č. 14 - SRP 2867</w:t>
      </w:r>
    </w:p>
    <w:p w:rsidR="003F7D0F" w:rsidRPr="003F7D0F" w:rsidRDefault="003F7D0F" w:rsidP="00321545">
      <w:pPr>
        <w:spacing w:after="0"/>
        <w:jc w:val="both"/>
        <w:rPr>
          <w:rFonts w:ascii="Verdana" w:hAnsi="Verdana" w:cs="Times New Roman"/>
          <w:sz w:val="20"/>
          <w:szCs w:val="20"/>
        </w:rPr>
      </w:pPr>
      <w:r w:rsidRPr="003F7D0F">
        <w:rPr>
          <w:rFonts w:ascii="Verdana" w:hAnsi="Verdana" w:cs="Times New Roman"/>
          <w:sz w:val="20"/>
          <w:szCs w:val="20"/>
        </w:rPr>
        <w:t xml:space="preserve">Přesun prostředků z položky školství rezerva na neinvestiční příspěvek pro příspěvkovou organizaci Základní škola Jana Palacha v Kutné Hoře, Jana Palacha 166, Kutná Hora ve výši 50 000,00 Kč na výměnu klimatizační jednotky v místnosti s počítačovými servery školy. </w:t>
      </w:r>
    </w:p>
    <w:p w:rsidR="003F7D0F" w:rsidRPr="003F7D0F" w:rsidRDefault="003F7D0F" w:rsidP="00321545">
      <w:pPr>
        <w:spacing w:after="0"/>
        <w:jc w:val="both"/>
        <w:rPr>
          <w:rFonts w:ascii="Verdana" w:hAnsi="Verdana" w:cs="Times New Roman"/>
          <w:b/>
          <w:sz w:val="20"/>
          <w:szCs w:val="20"/>
        </w:rPr>
      </w:pPr>
    </w:p>
    <w:p w:rsidR="003F7D0F" w:rsidRPr="003F7D0F" w:rsidRDefault="003F7D0F" w:rsidP="00321545">
      <w:pPr>
        <w:spacing w:after="0"/>
        <w:jc w:val="both"/>
        <w:rPr>
          <w:rFonts w:ascii="Verdana" w:hAnsi="Verdana" w:cs="Times New Roman"/>
          <w:b/>
          <w:sz w:val="20"/>
          <w:szCs w:val="20"/>
        </w:rPr>
      </w:pPr>
      <w:r w:rsidRPr="003F7D0F">
        <w:rPr>
          <w:rFonts w:ascii="Verdana" w:hAnsi="Verdana" w:cs="Times New Roman"/>
          <w:b/>
          <w:sz w:val="20"/>
          <w:szCs w:val="20"/>
        </w:rPr>
        <w:t xml:space="preserve">4/03 Převod stolů a židlí z PO Školní jídelny Kutná Hora </w:t>
      </w:r>
    </w:p>
    <w:p w:rsidR="003F7D0F" w:rsidRPr="003F7D0F" w:rsidRDefault="003F7D0F" w:rsidP="00321545">
      <w:pPr>
        <w:spacing w:after="0"/>
        <w:jc w:val="both"/>
        <w:rPr>
          <w:rFonts w:ascii="Verdana" w:hAnsi="Verdana" w:cs="Times New Roman"/>
          <w:b/>
          <w:sz w:val="20"/>
          <w:szCs w:val="20"/>
        </w:rPr>
      </w:pPr>
      <w:r w:rsidRPr="003F7D0F">
        <w:rPr>
          <w:rFonts w:ascii="Verdana" w:hAnsi="Verdana" w:cs="Times New Roman"/>
          <w:sz w:val="20"/>
          <w:szCs w:val="20"/>
        </w:rPr>
        <w:t xml:space="preserve">Bezúplatný převod vyřazeného nábytku z příspěvkové organizace Školní jídelny Kutná Hora příspěvkové organizaci  Vyšší odborná škola, Střední průmyslová škola a Jazyková škola s právem státní závěrečné zkoušky Kutná Hora a Osadnímu výboru Perštejnec. </w:t>
      </w:r>
      <w:r w:rsidRPr="003F7D0F">
        <w:rPr>
          <w:rFonts w:ascii="Verdana" w:hAnsi="Verdana" w:cs="Times New Roman"/>
          <w:color w:val="000000"/>
          <w:sz w:val="20"/>
          <w:szCs w:val="20"/>
        </w:rPr>
        <w:t xml:space="preserve">  </w:t>
      </w:r>
    </w:p>
    <w:p w:rsidR="003F7D0F" w:rsidRPr="003F7D0F" w:rsidRDefault="003F7D0F" w:rsidP="00321545">
      <w:pPr>
        <w:spacing w:after="0"/>
        <w:jc w:val="both"/>
        <w:rPr>
          <w:rFonts w:ascii="Verdana" w:hAnsi="Verdana" w:cs="Times New Roman"/>
          <w:b/>
          <w:sz w:val="20"/>
          <w:szCs w:val="20"/>
        </w:rPr>
      </w:pPr>
    </w:p>
    <w:p w:rsidR="003F7D0F" w:rsidRPr="003F7D0F" w:rsidRDefault="003F7D0F" w:rsidP="00321545">
      <w:pPr>
        <w:spacing w:after="0"/>
        <w:jc w:val="both"/>
        <w:rPr>
          <w:rFonts w:ascii="Verdana" w:hAnsi="Verdana" w:cs="Times New Roman"/>
          <w:b/>
          <w:sz w:val="20"/>
          <w:szCs w:val="20"/>
        </w:rPr>
      </w:pPr>
      <w:r w:rsidRPr="003F7D0F">
        <w:rPr>
          <w:rFonts w:ascii="Verdana" w:hAnsi="Verdana" w:cs="Times New Roman"/>
          <w:b/>
          <w:sz w:val="20"/>
          <w:szCs w:val="20"/>
        </w:rPr>
        <w:t>4/04 Česká 1 – žádost o mimořádnou finanční podporu</w:t>
      </w:r>
    </w:p>
    <w:p w:rsidR="003F7D0F" w:rsidRPr="003F7D0F" w:rsidRDefault="003F7D0F" w:rsidP="00321545">
      <w:pPr>
        <w:spacing w:after="0"/>
        <w:jc w:val="both"/>
        <w:rPr>
          <w:rFonts w:ascii="Verdana" w:eastAsia="Times New Roman" w:hAnsi="Verdana" w:cs="Times New Roman"/>
          <w:sz w:val="20"/>
          <w:szCs w:val="20"/>
          <w:lang w:eastAsia="cs-CZ"/>
        </w:rPr>
      </w:pPr>
      <w:r w:rsidRPr="003F7D0F">
        <w:rPr>
          <w:rFonts w:ascii="Verdana" w:eastAsia="Times New Roman" w:hAnsi="Verdana" w:cs="Times New Roman"/>
          <w:sz w:val="20"/>
          <w:szCs w:val="20"/>
          <w:lang w:eastAsia="cs-CZ"/>
        </w:rPr>
        <w:t xml:space="preserve">Jednorázová finanční podpora multižánrového hudebního klubu </w:t>
      </w:r>
      <w:r w:rsidR="00321545" w:rsidRPr="003F7D0F">
        <w:rPr>
          <w:rFonts w:ascii="Verdana" w:eastAsia="Times New Roman" w:hAnsi="Verdana" w:cs="Times New Roman"/>
          <w:sz w:val="20"/>
          <w:szCs w:val="20"/>
          <w:lang w:eastAsia="cs-CZ"/>
        </w:rPr>
        <w:t>Česká 1, jehož</w:t>
      </w:r>
      <w:r w:rsidRPr="003F7D0F">
        <w:rPr>
          <w:rFonts w:ascii="Verdana" w:eastAsia="Times New Roman" w:hAnsi="Verdana" w:cs="Times New Roman"/>
          <w:sz w:val="20"/>
          <w:szCs w:val="20"/>
          <w:lang w:eastAsia="cs-CZ"/>
        </w:rPr>
        <w:t xml:space="preserve"> provozovatelem je pan Wilco Versteeg.</w:t>
      </w:r>
    </w:p>
    <w:p w:rsidR="003F7D0F" w:rsidRPr="003F7D0F" w:rsidRDefault="003F7D0F" w:rsidP="00321545">
      <w:pPr>
        <w:spacing w:after="0"/>
        <w:jc w:val="both"/>
        <w:rPr>
          <w:rFonts w:ascii="Verdana" w:hAnsi="Verdana" w:cs="Times New Roman"/>
          <w:b/>
          <w:sz w:val="20"/>
          <w:szCs w:val="20"/>
        </w:rPr>
      </w:pPr>
    </w:p>
    <w:p w:rsidR="003F7D0F" w:rsidRPr="003F7D0F" w:rsidRDefault="003F7D0F" w:rsidP="00321545">
      <w:pPr>
        <w:spacing w:after="0"/>
        <w:jc w:val="both"/>
        <w:rPr>
          <w:rFonts w:ascii="Verdana" w:hAnsi="Verdana" w:cs="Times New Roman"/>
          <w:b/>
          <w:sz w:val="20"/>
          <w:szCs w:val="20"/>
        </w:rPr>
      </w:pPr>
      <w:r w:rsidRPr="003F7D0F">
        <w:rPr>
          <w:rFonts w:ascii="Verdana" w:hAnsi="Verdana" w:cs="Times New Roman"/>
          <w:b/>
          <w:sz w:val="20"/>
          <w:szCs w:val="20"/>
        </w:rPr>
        <w:t>4/05 Schvalování účetní závěrky za rok 2019 zřízených příspěvkových organizací v kultuře</w:t>
      </w:r>
      <w:r w:rsidRPr="003F7D0F">
        <w:rPr>
          <w:rFonts w:ascii="Verdana" w:hAnsi="Verdana" w:cs="Times New Roman"/>
          <w:b/>
          <w:sz w:val="20"/>
          <w:szCs w:val="20"/>
        </w:rPr>
        <w:br/>
      </w:r>
      <w:r w:rsidRPr="003F7D0F">
        <w:rPr>
          <w:rFonts w:ascii="Verdana" w:hAnsi="Verdana" w:cs="Times New Roman"/>
          <w:sz w:val="20"/>
          <w:szCs w:val="20"/>
        </w:rPr>
        <w:t>Schválení účetních závěrek za rok 2019 příspěvkových organizací zřízených Městem Kutná Hora:</w:t>
      </w:r>
      <w:r w:rsidRPr="003F7D0F">
        <w:rPr>
          <w:rFonts w:ascii="Verdana" w:hAnsi="Verdana" w:cs="Times New Roman"/>
          <w:b/>
          <w:sz w:val="20"/>
          <w:szCs w:val="20"/>
        </w:rPr>
        <w:t xml:space="preserve"> </w:t>
      </w:r>
      <w:r w:rsidRPr="003F7D0F">
        <w:rPr>
          <w:rFonts w:ascii="Verdana" w:hAnsi="Verdana" w:cs="Times New Roman"/>
          <w:sz w:val="20"/>
          <w:szCs w:val="20"/>
        </w:rPr>
        <w:t>Městská knihovna, Husova 145, Kutná Hora, Galerie Felixe Jeneweina, Palackého náměstí 377, Kutná Hora, Městské Tylovo divadlo v Kutné Hoře, Masarykova 128, Kutná Hora</w:t>
      </w:r>
    </w:p>
    <w:p w:rsidR="003F7D0F" w:rsidRDefault="003F7D0F" w:rsidP="00321545">
      <w:pPr>
        <w:spacing w:after="0"/>
        <w:jc w:val="both"/>
        <w:rPr>
          <w:rFonts w:ascii="Verdana" w:hAnsi="Verdana" w:cs="Times New Roman"/>
          <w:sz w:val="20"/>
          <w:szCs w:val="20"/>
        </w:rPr>
      </w:pPr>
    </w:p>
    <w:p w:rsidR="00321545" w:rsidRPr="008221D2" w:rsidRDefault="00321545" w:rsidP="00321545">
      <w:pPr>
        <w:spacing w:after="0"/>
        <w:jc w:val="both"/>
        <w:rPr>
          <w:rFonts w:ascii="Verdana" w:hAnsi="Verdana"/>
          <w:b/>
          <w:sz w:val="20"/>
          <w:szCs w:val="20"/>
          <w:u w:val="single"/>
        </w:rPr>
      </w:pPr>
      <w:r w:rsidRPr="008221D2">
        <w:rPr>
          <w:rFonts w:ascii="Verdana" w:hAnsi="Verdana"/>
          <w:b/>
          <w:sz w:val="20"/>
          <w:szCs w:val="20"/>
          <w:u w:val="single"/>
        </w:rPr>
        <w:t xml:space="preserve">Odbor </w:t>
      </w:r>
      <w:r>
        <w:rPr>
          <w:rFonts w:ascii="Verdana" w:hAnsi="Verdana"/>
          <w:b/>
          <w:sz w:val="20"/>
          <w:szCs w:val="20"/>
          <w:u w:val="single"/>
        </w:rPr>
        <w:t>regionálního rozvoje a územního plánování</w:t>
      </w:r>
    </w:p>
    <w:p w:rsidR="00D27A3D" w:rsidRDefault="00D27A3D" w:rsidP="00321545">
      <w:pPr>
        <w:spacing w:after="0"/>
        <w:jc w:val="both"/>
        <w:rPr>
          <w:rFonts w:ascii="Verdana" w:hAnsi="Verdana"/>
          <w:b/>
          <w:sz w:val="20"/>
          <w:szCs w:val="20"/>
        </w:rPr>
      </w:pPr>
      <w:r w:rsidRPr="00D27A3D">
        <w:rPr>
          <w:rFonts w:ascii="Verdana" w:hAnsi="Verdana" w:cs="Times New Roman"/>
          <w:b/>
          <w:sz w:val="20"/>
          <w:szCs w:val="20"/>
        </w:rPr>
        <w:t>5/01</w:t>
      </w:r>
      <w:r>
        <w:rPr>
          <w:rFonts w:ascii="Verdana" w:hAnsi="Verdana" w:cs="Times New Roman"/>
          <w:sz w:val="20"/>
          <w:szCs w:val="20"/>
        </w:rPr>
        <w:t xml:space="preserve"> </w:t>
      </w:r>
      <w:r>
        <w:rPr>
          <w:rFonts w:ascii="Verdana" w:hAnsi="Verdana"/>
          <w:b/>
          <w:sz w:val="20"/>
          <w:szCs w:val="20"/>
        </w:rPr>
        <w:t>Komise pro strategické plánování a rozvoj města</w:t>
      </w:r>
    </w:p>
    <w:p w:rsidR="00D27A3D" w:rsidRPr="003F7D0F" w:rsidRDefault="00D27A3D" w:rsidP="00321545">
      <w:pPr>
        <w:spacing w:after="0"/>
        <w:jc w:val="both"/>
        <w:rPr>
          <w:rFonts w:ascii="Verdana" w:hAnsi="Verdana" w:cs="Times New Roman"/>
          <w:sz w:val="20"/>
          <w:szCs w:val="20"/>
        </w:rPr>
      </w:pPr>
      <w:r>
        <w:rPr>
          <w:rFonts w:ascii="Verdana" w:hAnsi="Verdana"/>
          <w:sz w:val="20"/>
          <w:szCs w:val="20"/>
        </w:rPr>
        <w:t xml:space="preserve">Dne </w:t>
      </w:r>
      <w:r w:rsidR="00321545">
        <w:rPr>
          <w:rFonts w:ascii="Verdana" w:hAnsi="Verdana"/>
          <w:sz w:val="20"/>
          <w:szCs w:val="20"/>
        </w:rPr>
        <w:t>2. 3. 2020</w:t>
      </w:r>
      <w:r>
        <w:rPr>
          <w:rFonts w:ascii="Verdana" w:hAnsi="Verdana"/>
          <w:sz w:val="20"/>
          <w:szCs w:val="20"/>
        </w:rPr>
        <w:t xml:space="preserve"> obdrželo Město Kutná Hora rezignaci na post zastupitele pana Bc. Martina Starého a zároveň rezignaci na členství v komisi strategického plánování a rozvoje města</w:t>
      </w:r>
    </w:p>
    <w:p w:rsidR="009D4C61" w:rsidRPr="008221D2" w:rsidRDefault="009D4C61" w:rsidP="00321545">
      <w:pPr>
        <w:spacing w:after="0"/>
        <w:jc w:val="both"/>
        <w:rPr>
          <w:rFonts w:ascii="Verdana" w:hAnsi="Verdana"/>
          <w:b/>
          <w:sz w:val="20"/>
          <w:szCs w:val="20"/>
          <w:u w:val="single"/>
        </w:rPr>
      </w:pPr>
    </w:p>
    <w:p w:rsidR="00D22CCF" w:rsidRPr="008221D2" w:rsidRDefault="00335172" w:rsidP="00321545">
      <w:pPr>
        <w:spacing w:after="0"/>
        <w:jc w:val="both"/>
        <w:rPr>
          <w:rFonts w:ascii="Verdana" w:hAnsi="Verdana"/>
          <w:b/>
          <w:sz w:val="20"/>
          <w:szCs w:val="20"/>
          <w:u w:val="single"/>
        </w:rPr>
      </w:pPr>
      <w:r w:rsidRPr="008221D2">
        <w:rPr>
          <w:rFonts w:ascii="Verdana" w:hAnsi="Verdana"/>
          <w:b/>
          <w:sz w:val="20"/>
          <w:szCs w:val="20"/>
          <w:u w:val="single"/>
        </w:rPr>
        <w:t>Odbor investic</w:t>
      </w:r>
    </w:p>
    <w:p w:rsidR="00566E4E" w:rsidRDefault="00566E4E" w:rsidP="00321545">
      <w:pPr>
        <w:tabs>
          <w:tab w:val="left" w:pos="2700"/>
        </w:tabs>
        <w:spacing w:after="0"/>
        <w:jc w:val="both"/>
        <w:rPr>
          <w:rFonts w:ascii="Verdana" w:hAnsi="Verdana" w:cs="Calibri"/>
          <w:b/>
          <w:sz w:val="20"/>
          <w:szCs w:val="20"/>
        </w:rPr>
      </w:pPr>
      <w:r>
        <w:rPr>
          <w:rFonts w:ascii="Verdana" w:hAnsi="Verdana"/>
          <w:b/>
          <w:bCs/>
          <w:noProof/>
          <w:sz w:val="20"/>
          <w:szCs w:val="20"/>
        </w:rPr>
        <w:lastRenderedPageBreak/>
        <w:t xml:space="preserve">6/01 </w:t>
      </w:r>
      <w:r>
        <w:rPr>
          <w:rFonts w:ascii="Verdana" w:hAnsi="Verdana" w:cs="Calibri"/>
          <w:b/>
          <w:sz w:val="20"/>
          <w:szCs w:val="20"/>
        </w:rPr>
        <w:t>Dodatek č. 1 ke SMLOUVĚ O DÍLO stavby „Rekonstrukce objektu bývalé ZŠ J. A. Komenského v K. Hoře“</w:t>
      </w:r>
    </w:p>
    <w:p w:rsidR="00566E4E" w:rsidRDefault="00566E4E" w:rsidP="00321545">
      <w:pPr>
        <w:spacing w:after="0"/>
        <w:jc w:val="both"/>
        <w:rPr>
          <w:rFonts w:ascii="Verdana" w:hAnsi="Verdana"/>
          <w:bCs/>
          <w:sz w:val="20"/>
          <w:szCs w:val="20"/>
        </w:rPr>
      </w:pPr>
      <w:r>
        <w:rPr>
          <w:rFonts w:ascii="Verdana" w:hAnsi="Verdana"/>
          <w:bCs/>
          <w:sz w:val="20"/>
          <w:szCs w:val="20"/>
        </w:rPr>
        <w:t>Smlouva o dílo na výše uvedenou akci byla uzavřena a rekonstrukce byla zahájena. Oproti smlouvě o dílo (která byla součástí výběrového řízení) došlo v průběhu prací k některým provozním změnám. Aby byla celá situace právně v pořádku, musí být změny smlouvy řešeny dodatkem ke smlouvě, který předkládáme jako přílohu tohoto návrhu usnesení.</w:t>
      </w:r>
    </w:p>
    <w:p w:rsidR="00566E4E" w:rsidRDefault="00566E4E" w:rsidP="00321545">
      <w:pPr>
        <w:spacing w:after="0"/>
        <w:jc w:val="both"/>
        <w:rPr>
          <w:rFonts w:ascii="Verdana" w:hAnsi="Verdana"/>
          <w:bCs/>
          <w:sz w:val="20"/>
          <w:szCs w:val="20"/>
        </w:rPr>
      </w:pPr>
      <w:r>
        <w:rPr>
          <w:rFonts w:ascii="Verdana" w:hAnsi="Verdana"/>
          <w:bCs/>
          <w:sz w:val="20"/>
          <w:szCs w:val="20"/>
        </w:rPr>
        <w:t>Jedná se o tyto změny:</w:t>
      </w:r>
    </w:p>
    <w:p w:rsidR="00566E4E" w:rsidRDefault="00566E4E" w:rsidP="00321545">
      <w:pPr>
        <w:pStyle w:val="Odstavecseseznamem"/>
        <w:numPr>
          <w:ilvl w:val="0"/>
          <w:numId w:val="54"/>
        </w:numPr>
        <w:spacing w:line="276" w:lineRule="auto"/>
        <w:contextualSpacing w:val="0"/>
        <w:jc w:val="both"/>
        <w:rPr>
          <w:rFonts w:ascii="Verdana" w:hAnsi="Verdana"/>
          <w:bCs/>
          <w:sz w:val="20"/>
          <w:szCs w:val="20"/>
        </w:rPr>
      </w:pPr>
      <w:r>
        <w:rPr>
          <w:rFonts w:ascii="Verdana" w:hAnsi="Verdana"/>
          <w:bCs/>
          <w:sz w:val="20"/>
          <w:szCs w:val="20"/>
        </w:rPr>
        <w:t>změna osoby stavbyvedoucího</w:t>
      </w:r>
    </w:p>
    <w:p w:rsidR="00566E4E" w:rsidRDefault="00566E4E" w:rsidP="00321545">
      <w:pPr>
        <w:pStyle w:val="Odstavecseseznamem"/>
        <w:numPr>
          <w:ilvl w:val="0"/>
          <w:numId w:val="54"/>
        </w:numPr>
        <w:spacing w:line="276" w:lineRule="auto"/>
        <w:contextualSpacing w:val="0"/>
        <w:jc w:val="both"/>
        <w:rPr>
          <w:rFonts w:ascii="Verdana" w:hAnsi="Verdana"/>
          <w:bCs/>
          <w:sz w:val="20"/>
          <w:szCs w:val="20"/>
        </w:rPr>
      </w:pPr>
      <w:r>
        <w:rPr>
          <w:rFonts w:ascii="Verdana" w:hAnsi="Verdana"/>
          <w:sz w:val="20"/>
          <w:szCs w:val="20"/>
        </w:rPr>
        <w:t>specifikace stálé pamětní desky</w:t>
      </w:r>
    </w:p>
    <w:p w:rsidR="00566E4E" w:rsidRDefault="00566E4E" w:rsidP="00321545">
      <w:pPr>
        <w:pStyle w:val="Odstavecseseznamem"/>
        <w:numPr>
          <w:ilvl w:val="0"/>
          <w:numId w:val="54"/>
        </w:numPr>
        <w:spacing w:line="276" w:lineRule="auto"/>
        <w:contextualSpacing w:val="0"/>
        <w:jc w:val="both"/>
        <w:rPr>
          <w:rFonts w:ascii="Verdana" w:hAnsi="Verdana"/>
          <w:sz w:val="20"/>
          <w:szCs w:val="20"/>
        </w:rPr>
      </w:pPr>
      <w:r>
        <w:rPr>
          <w:rFonts w:ascii="Verdana" w:hAnsi="Verdana"/>
          <w:sz w:val="20"/>
          <w:szCs w:val="20"/>
        </w:rPr>
        <w:t>hrazení energií - nežli bude zajištěna dodávka energií přímo na zhotovitele, budou náklady přefakturovány od objednatele na zhotovitele.</w:t>
      </w:r>
    </w:p>
    <w:p w:rsidR="00566E4E" w:rsidRPr="00566E4E" w:rsidRDefault="00566E4E" w:rsidP="00321545">
      <w:pPr>
        <w:tabs>
          <w:tab w:val="left" w:pos="2700"/>
        </w:tabs>
        <w:spacing w:after="0"/>
        <w:jc w:val="both"/>
        <w:rPr>
          <w:rFonts w:ascii="Verdana" w:hAnsi="Verdana" w:cs="Calibri"/>
          <w:b/>
          <w:sz w:val="20"/>
          <w:szCs w:val="20"/>
        </w:rPr>
      </w:pPr>
    </w:p>
    <w:p w:rsidR="00566E4E" w:rsidRPr="00566E4E" w:rsidRDefault="00566E4E" w:rsidP="00321545">
      <w:pPr>
        <w:pStyle w:val="Nadpis5"/>
        <w:spacing w:before="0"/>
        <w:jc w:val="both"/>
        <w:rPr>
          <w:rFonts w:ascii="Verdana" w:hAnsi="Verdana" w:cs="Times New Roman"/>
          <w:b/>
          <w:color w:val="auto"/>
          <w:sz w:val="20"/>
          <w:szCs w:val="20"/>
        </w:rPr>
      </w:pPr>
      <w:r w:rsidRPr="00566E4E">
        <w:rPr>
          <w:rFonts w:ascii="Verdana" w:hAnsi="Verdana" w:cs="Calibri"/>
          <w:b/>
          <w:color w:val="auto"/>
          <w:sz w:val="20"/>
        </w:rPr>
        <w:t xml:space="preserve">6/02 </w:t>
      </w:r>
      <w:r w:rsidRPr="00566E4E">
        <w:rPr>
          <w:rFonts w:ascii="Verdana" w:hAnsi="Verdana"/>
          <w:b/>
          <w:color w:val="auto"/>
          <w:sz w:val="20"/>
        </w:rPr>
        <w:t>zahájení zadávacího řízení na stavební práce: „Kutná Hora, Masarykova ulice-rekonstrukce chodníků“</w:t>
      </w:r>
    </w:p>
    <w:p w:rsidR="00566E4E" w:rsidRPr="00566E4E" w:rsidRDefault="00566E4E" w:rsidP="00321545">
      <w:pPr>
        <w:pStyle w:val="Nadpis5"/>
        <w:spacing w:before="0"/>
        <w:jc w:val="both"/>
        <w:rPr>
          <w:rFonts w:ascii="Verdana" w:hAnsi="Verdana"/>
          <w:color w:val="auto"/>
          <w:sz w:val="20"/>
          <w:lang w:eastAsia="cs-CZ"/>
        </w:rPr>
      </w:pPr>
      <w:r w:rsidRPr="00566E4E">
        <w:rPr>
          <w:rFonts w:ascii="Verdana" w:hAnsi="Verdana"/>
          <w:color w:val="auto"/>
          <w:sz w:val="20"/>
        </w:rPr>
        <w:t>ad I. Předpokládaná hodnota VZ je dle PD nad 6,0 mil Kč bez DPH, proto je nutné vybrat dodavatele v zadávacím řízení v režimu dle zákona. Vzhledem k tomu, že předpokládaná hodnota této VZ je do 50 mil. Kč bez DPH, je možno zadat tuto VZ  druhem zjednodušeného podlimitního řízení dle ust</w:t>
      </w:r>
      <w:r w:rsidR="00321545">
        <w:rPr>
          <w:rFonts w:ascii="Verdana" w:hAnsi="Verdana"/>
          <w:color w:val="auto"/>
          <w:sz w:val="20"/>
        </w:rPr>
        <w:t>.</w:t>
      </w:r>
      <w:r w:rsidRPr="00566E4E">
        <w:rPr>
          <w:rFonts w:ascii="Verdana" w:hAnsi="Verdana"/>
          <w:color w:val="auto"/>
          <w:sz w:val="20"/>
        </w:rPr>
        <w:t xml:space="preserve"> § 53 zákona.</w:t>
      </w:r>
    </w:p>
    <w:p w:rsidR="00566E4E" w:rsidRPr="00566E4E" w:rsidRDefault="00566E4E" w:rsidP="00321545">
      <w:pPr>
        <w:pStyle w:val="Nadpis5"/>
        <w:spacing w:before="0"/>
        <w:jc w:val="both"/>
        <w:rPr>
          <w:rFonts w:ascii="Verdana" w:hAnsi="Verdana"/>
          <w:color w:val="auto"/>
          <w:sz w:val="20"/>
        </w:rPr>
      </w:pPr>
      <w:r w:rsidRPr="00566E4E">
        <w:rPr>
          <w:rFonts w:ascii="Verdana" w:hAnsi="Verdana"/>
          <w:color w:val="auto"/>
          <w:sz w:val="20"/>
        </w:rPr>
        <w:t>ad II. Nový zákon u zakázek do 300 mil Kč bez DPH neurčuje počet členů hodnotící komise, hodnocení může provézt i zadavatel či pověřená osoba zadavatele. Je doporučeno však provézt hodnocení zadavatelem jmenovanou komisí. Uvedou se celá jména členů a náhradníků komise s udáním jejich pozice či vztahu k zadavateli či zakázce jako např.: Ing. Jan Opatřil, zpracovatel PD nebo Jan Vávra, zástupce technického dozoru stavebníka (TDS) nebo Jana Kočárníková, člen zastupitelstva města atd.</w:t>
      </w:r>
    </w:p>
    <w:p w:rsidR="00566E4E" w:rsidRPr="00566E4E" w:rsidRDefault="00566E4E" w:rsidP="00321545">
      <w:pPr>
        <w:pStyle w:val="Nadpis5"/>
        <w:spacing w:before="0"/>
        <w:jc w:val="both"/>
        <w:rPr>
          <w:rFonts w:ascii="Verdana" w:hAnsi="Verdana"/>
          <w:color w:val="auto"/>
          <w:sz w:val="20"/>
        </w:rPr>
      </w:pPr>
      <w:r w:rsidRPr="00566E4E">
        <w:rPr>
          <w:rFonts w:ascii="Verdana" w:hAnsi="Verdana"/>
          <w:color w:val="auto"/>
          <w:sz w:val="20"/>
        </w:rPr>
        <w:t>Je účelné, aby členem komise byl i „stavař“ či projektant, nejlépe osoba TDS.</w:t>
      </w:r>
    </w:p>
    <w:p w:rsidR="00566E4E" w:rsidRPr="00566E4E" w:rsidRDefault="00566E4E" w:rsidP="00321545">
      <w:pPr>
        <w:pStyle w:val="Nadpis5"/>
        <w:spacing w:before="0"/>
        <w:jc w:val="both"/>
        <w:rPr>
          <w:rFonts w:ascii="Verdana" w:hAnsi="Verdana"/>
          <w:color w:val="auto"/>
          <w:sz w:val="20"/>
        </w:rPr>
      </w:pPr>
      <w:r w:rsidRPr="00566E4E">
        <w:rPr>
          <w:rFonts w:ascii="Verdana" w:hAnsi="Verdana"/>
          <w:color w:val="auto"/>
          <w:sz w:val="20"/>
        </w:rPr>
        <w:t>ad III. RM rozhoduje o zahájení zadávacího řízení, o výběru dodavatele či o zrušení zadávacího řízení.</w:t>
      </w:r>
    </w:p>
    <w:p w:rsidR="00566E4E" w:rsidRPr="00566E4E" w:rsidRDefault="00566E4E" w:rsidP="00321545">
      <w:pPr>
        <w:pStyle w:val="Nadpis5"/>
        <w:spacing w:before="0"/>
        <w:jc w:val="both"/>
        <w:rPr>
          <w:rFonts w:ascii="Verdana" w:hAnsi="Verdana"/>
          <w:color w:val="auto"/>
          <w:sz w:val="20"/>
        </w:rPr>
      </w:pPr>
      <w:r w:rsidRPr="00566E4E">
        <w:rPr>
          <w:rFonts w:ascii="Verdana" w:hAnsi="Verdana"/>
          <w:color w:val="auto"/>
          <w:sz w:val="20"/>
        </w:rPr>
        <w:t>Starosta města či v jeho nepřítomnosti místostarosta města schvaluje zadávací podmínky a podepisuje za zadavatele veškerá rozhodnutí zadavatele v průběhu zadávacího řízení:</w:t>
      </w:r>
    </w:p>
    <w:p w:rsidR="00566E4E" w:rsidRPr="00566E4E" w:rsidRDefault="00566E4E" w:rsidP="00321545">
      <w:pPr>
        <w:pStyle w:val="Nadpis5"/>
        <w:spacing w:before="0"/>
        <w:jc w:val="both"/>
        <w:rPr>
          <w:rFonts w:ascii="Verdana" w:hAnsi="Verdana"/>
          <w:color w:val="auto"/>
          <w:sz w:val="20"/>
        </w:rPr>
      </w:pPr>
      <w:r w:rsidRPr="00566E4E">
        <w:rPr>
          <w:rFonts w:ascii="Verdana" w:hAnsi="Verdana"/>
          <w:color w:val="auto"/>
          <w:sz w:val="20"/>
        </w:rPr>
        <w:t>-jmenování komise</w:t>
      </w:r>
    </w:p>
    <w:p w:rsidR="00566E4E" w:rsidRPr="00566E4E" w:rsidRDefault="00566E4E" w:rsidP="00321545">
      <w:pPr>
        <w:pStyle w:val="Nadpis5"/>
        <w:spacing w:before="0"/>
        <w:jc w:val="both"/>
        <w:rPr>
          <w:rFonts w:ascii="Verdana" w:hAnsi="Verdana"/>
          <w:color w:val="auto"/>
          <w:sz w:val="20"/>
        </w:rPr>
      </w:pPr>
      <w:r w:rsidRPr="00566E4E">
        <w:rPr>
          <w:rFonts w:ascii="Verdana" w:hAnsi="Verdana"/>
          <w:color w:val="auto"/>
          <w:sz w:val="20"/>
        </w:rPr>
        <w:t>-rozhodnutí o vyloučení účastníka zadávacího řízení</w:t>
      </w:r>
    </w:p>
    <w:p w:rsidR="00566E4E" w:rsidRPr="00566E4E" w:rsidRDefault="00566E4E" w:rsidP="00321545">
      <w:pPr>
        <w:pStyle w:val="Nadpis5"/>
        <w:spacing w:before="0"/>
        <w:jc w:val="both"/>
        <w:rPr>
          <w:rFonts w:ascii="Verdana" w:hAnsi="Verdana"/>
          <w:color w:val="auto"/>
          <w:sz w:val="20"/>
        </w:rPr>
      </w:pPr>
      <w:r w:rsidRPr="00566E4E">
        <w:rPr>
          <w:rFonts w:ascii="Verdana" w:hAnsi="Verdana"/>
          <w:color w:val="auto"/>
          <w:sz w:val="20"/>
        </w:rPr>
        <w:t>-rozhodnutí o vypořádání podaných námitek</w:t>
      </w:r>
    </w:p>
    <w:p w:rsidR="00566E4E" w:rsidRDefault="00566E4E" w:rsidP="00321545">
      <w:pPr>
        <w:spacing w:after="0"/>
        <w:jc w:val="both"/>
        <w:rPr>
          <w:lang w:eastAsia="cs-CZ"/>
        </w:rPr>
      </w:pPr>
    </w:p>
    <w:p w:rsidR="00566E4E" w:rsidRDefault="00566E4E" w:rsidP="00321545">
      <w:pPr>
        <w:spacing w:after="0"/>
        <w:jc w:val="both"/>
        <w:rPr>
          <w:rFonts w:ascii="Verdana" w:hAnsi="Verdana"/>
          <w:b/>
          <w:sz w:val="20"/>
          <w:szCs w:val="20"/>
        </w:rPr>
      </w:pPr>
      <w:r>
        <w:rPr>
          <w:rFonts w:ascii="Verdana" w:hAnsi="Verdana" w:cs="Calibri"/>
          <w:b/>
          <w:sz w:val="20"/>
          <w:szCs w:val="20"/>
        </w:rPr>
        <w:t xml:space="preserve">6/03 </w:t>
      </w:r>
      <w:r>
        <w:rPr>
          <w:rFonts w:ascii="Verdana" w:hAnsi="Verdana"/>
          <w:b/>
          <w:sz w:val="20"/>
          <w:szCs w:val="20"/>
        </w:rPr>
        <w:t xml:space="preserve">MŠ Trebišovská- zhotovení dokumentace pro rekonstrukci </w:t>
      </w:r>
    </w:p>
    <w:p w:rsidR="00566E4E" w:rsidRDefault="00566E4E" w:rsidP="00321545">
      <w:pPr>
        <w:spacing w:after="0"/>
        <w:jc w:val="both"/>
        <w:rPr>
          <w:rFonts w:ascii="Verdana" w:hAnsi="Verdana"/>
          <w:sz w:val="20"/>
          <w:szCs w:val="20"/>
        </w:rPr>
      </w:pPr>
      <w:r>
        <w:rPr>
          <w:rFonts w:ascii="Verdana" w:hAnsi="Verdana"/>
          <w:sz w:val="20"/>
          <w:szCs w:val="20"/>
        </w:rPr>
        <w:t xml:space="preserve">  Dle informace od vedení města byl OI  zadán úkol provést rekonstrukci MŠ Trebišovská  tak, aby k </w:t>
      </w:r>
      <w:r w:rsidR="00321545">
        <w:rPr>
          <w:rFonts w:ascii="Verdana" w:hAnsi="Verdana"/>
          <w:sz w:val="20"/>
          <w:szCs w:val="20"/>
        </w:rPr>
        <w:t>1. 9. 2021</w:t>
      </w:r>
      <w:r>
        <w:rPr>
          <w:rFonts w:ascii="Verdana" w:hAnsi="Verdana"/>
          <w:sz w:val="20"/>
          <w:szCs w:val="20"/>
        </w:rPr>
        <w:t xml:space="preserve"> bylo možné v budově obnovit provoz mateřské školy podle současně platných stavebních a hygienických norem. Protože je to přímo šibeniční termín s ohledem na skutečnost, že bude stavba podléhat stavebnímu řízení, obrátil se odbor investic s přímým dotazem na společnost Kutnohorská stavební, která školku velmi dobře zná. Prováděli zde dostavbu centra sociálních služeb v roce 2014 a dále  dělali  předběžný odhad nutných stavebních úprav, právě pro rozhodování vedení města, v roce 2018. Podle  výsledku posudku a jednoduché studie bude třeba na budově provést zásadní změny všech sítí, omítek, obkladů, sociálního zařízení, částečná úprava střechy  takže stručně řečeno, beze změn zůstává pouze hrubá stavba. </w:t>
      </w:r>
    </w:p>
    <w:p w:rsidR="00566E4E" w:rsidRDefault="00566E4E" w:rsidP="00321545">
      <w:pPr>
        <w:spacing w:after="0"/>
        <w:jc w:val="both"/>
        <w:rPr>
          <w:rFonts w:ascii="Verdana" w:hAnsi="Verdana"/>
          <w:sz w:val="20"/>
          <w:szCs w:val="20"/>
        </w:rPr>
      </w:pPr>
      <w:r>
        <w:rPr>
          <w:rFonts w:ascii="Verdana" w:hAnsi="Verdana"/>
          <w:sz w:val="20"/>
          <w:szCs w:val="20"/>
        </w:rPr>
        <w:t xml:space="preserve"> Na zhotovení projektu zaslal Kutnohorská stavební  níže předloženou cenovou a termínovou nabídku,  která  je jednak cenově  velmi příznivá (není plátce DPH), ale hlavně  je to podle našeho názoru jediná cesta, jak reálně dospět  k dodržení termínu otevření školky. Pokud bychom šli cestou VŘ na projektanta ztrácíme čas. I takto je to velmi časově napjaté </w:t>
      </w:r>
    </w:p>
    <w:p w:rsidR="00566E4E" w:rsidRDefault="00566E4E" w:rsidP="00321545">
      <w:pPr>
        <w:spacing w:after="0"/>
        <w:jc w:val="both"/>
        <w:rPr>
          <w:rFonts w:ascii="Verdana" w:hAnsi="Verdana"/>
          <w:sz w:val="20"/>
          <w:szCs w:val="20"/>
        </w:rPr>
      </w:pPr>
      <w:r>
        <w:rPr>
          <w:rFonts w:ascii="Verdana" w:hAnsi="Verdana"/>
          <w:sz w:val="20"/>
          <w:szCs w:val="20"/>
        </w:rPr>
        <w:t xml:space="preserve">Vyjdeme-li z termínu dokončení projektu v září, je třeba následně  požádat o SP (2 měsíce) vyhlásit VŘ na dodavatele stavby v režimu zjednodušené podlimitní řízení, které </w:t>
      </w:r>
      <w:r>
        <w:rPr>
          <w:rFonts w:ascii="Verdana" w:hAnsi="Verdana"/>
          <w:sz w:val="20"/>
          <w:szCs w:val="20"/>
        </w:rPr>
        <w:lastRenderedPageBreak/>
        <w:t>nám reálně vygeneruje dodavatele stavby v průběhu února. To vše za předpokladu, že nebudou k výsledku VŘ námitky. Odhadovaný potřebný termín stavebních prací je min 6 měsíců. Tak docházíme  k termínu dokončení stavby v srpnu 2021 a to zcela bez časové rezervy. Výhodou je,  že rozhodnutí o tom,  zda zde děti umístíme nebo ne, je definitivně možné udělat až před zápisem tj. v březnu 2021. To už bude pro nás situace jasnější. Možnou variantou je  otevřít  jen dokončená oddělení, protože jsou stavebně i provozně samostatná.</w:t>
      </w:r>
    </w:p>
    <w:p w:rsidR="00E4464B" w:rsidRDefault="00E4464B" w:rsidP="00321545">
      <w:pPr>
        <w:spacing w:after="0"/>
        <w:jc w:val="both"/>
        <w:rPr>
          <w:rFonts w:ascii="Verdana" w:hAnsi="Verdana"/>
          <w:b/>
          <w:bCs/>
          <w:noProof/>
          <w:sz w:val="20"/>
          <w:szCs w:val="20"/>
        </w:rPr>
      </w:pPr>
    </w:p>
    <w:p w:rsidR="00566E4E" w:rsidRDefault="00566E4E" w:rsidP="00321545">
      <w:pPr>
        <w:spacing w:after="0"/>
        <w:jc w:val="both"/>
        <w:rPr>
          <w:rFonts w:ascii="Verdana" w:hAnsi="Verdana"/>
          <w:b/>
          <w:sz w:val="20"/>
          <w:szCs w:val="20"/>
        </w:rPr>
      </w:pPr>
      <w:r>
        <w:rPr>
          <w:rFonts w:ascii="Verdana" w:hAnsi="Verdana"/>
          <w:b/>
          <w:bCs/>
          <w:noProof/>
          <w:sz w:val="20"/>
          <w:szCs w:val="20"/>
        </w:rPr>
        <w:t xml:space="preserve">6/04 </w:t>
      </w:r>
      <w:r>
        <w:rPr>
          <w:rFonts w:ascii="Verdana" w:hAnsi="Verdana"/>
          <w:b/>
          <w:sz w:val="20"/>
          <w:szCs w:val="20"/>
        </w:rPr>
        <w:t>Rekonstrukce ZŠ J. A. Komenského – archeologický výzkum</w:t>
      </w:r>
    </w:p>
    <w:p w:rsidR="00566E4E" w:rsidRDefault="00566E4E" w:rsidP="00321545">
      <w:pPr>
        <w:spacing w:after="0"/>
        <w:jc w:val="both"/>
        <w:rPr>
          <w:rFonts w:ascii="Verdana" w:hAnsi="Verdana"/>
          <w:sz w:val="20"/>
          <w:szCs w:val="20"/>
        </w:rPr>
      </w:pPr>
      <w:r>
        <w:rPr>
          <w:rFonts w:ascii="Verdana" w:hAnsi="Verdana"/>
          <w:sz w:val="20"/>
          <w:szCs w:val="20"/>
        </w:rPr>
        <w:t xml:space="preserve">Při provádění archeologického dohledu na akci bylo pracovníky archeologického ústavu zjištěno kulturní souvrství pod odtěžovanou zeminou v interiéru budovy. Na tomto základě byl Archeologickým ústavem akademie věd – pracoviště Kutná Hora (Ing. Velimský) zpracován plán postupného archeologického záchranného výzkumu, který v současnosti ještě podléhá schválení vedení archeologického ústavu. Je reálný předpoklad, že schválen bude. </w:t>
      </w:r>
    </w:p>
    <w:p w:rsidR="00566E4E" w:rsidRDefault="00566E4E" w:rsidP="00321545">
      <w:pPr>
        <w:spacing w:after="0"/>
        <w:jc w:val="both"/>
        <w:rPr>
          <w:rFonts w:ascii="Verdana" w:hAnsi="Verdana"/>
          <w:sz w:val="20"/>
          <w:szCs w:val="20"/>
        </w:rPr>
      </w:pPr>
      <w:r>
        <w:rPr>
          <w:rFonts w:ascii="Verdana" w:hAnsi="Verdana"/>
          <w:sz w:val="20"/>
          <w:szCs w:val="20"/>
        </w:rPr>
        <w:t xml:space="preserve">Je tedy nutné vyhlásit VŘ na zhotovitele archeologického výzkumu. Podkladem pro zadávací dokumentaci je zmíněné stanovisko Archeologického ústavu. </w:t>
      </w:r>
    </w:p>
    <w:p w:rsidR="00566E4E" w:rsidRDefault="00566E4E" w:rsidP="00321545">
      <w:pPr>
        <w:spacing w:after="0"/>
        <w:jc w:val="both"/>
        <w:rPr>
          <w:rFonts w:ascii="Verdana" w:hAnsi="Verdana"/>
          <w:sz w:val="20"/>
          <w:szCs w:val="20"/>
        </w:rPr>
      </w:pPr>
      <w:r>
        <w:rPr>
          <w:rFonts w:ascii="Verdana" w:hAnsi="Verdana"/>
          <w:sz w:val="20"/>
          <w:szCs w:val="20"/>
        </w:rPr>
        <w:t xml:space="preserve">Předpokládaná hodnota výzkumu je v současnosti 1.951.000,- Kč. To odpovídá Veřejné zakázce malého rozsahu. </w:t>
      </w:r>
    </w:p>
    <w:p w:rsidR="00566E4E" w:rsidRDefault="00566E4E" w:rsidP="00321545">
      <w:pPr>
        <w:spacing w:after="0"/>
        <w:jc w:val="both"/>
        <w:rPr>
          <w:rFonts w:ascii="Verdana" w:hAnsi="Verdana"/>
          <w:sz w:val="20"/>
          <w:szCs w:val="20"/>
        </w:rPr>
      </w:pPr>
      <w:r>
        <w:rPr>
          <w:rFonts w:ascii="Verdana" w:hAnsi="Verdana"/>
          <w:sz w:val="20"/>
          <w:szCs w:val="20"/>
        </w:rPr>
        <w:t xml:space="preserve">Oslovíme tedy administrátora výběrových řízení pro tuto akci, tj. společnost ČMÚD Pardubice, která vypracuje zadávací dokumentaci, VŘ zahájí a bude administrovat se všemi předepsanými kroky. </w:t>
      </w:r>
    </w:p>
    <w:p w:rsidR="00566E4E" w:rsidRDefault="00566E4E" w:rsidP="00321545">
      <w:pPr>
        <w:spacing w:after="0"/>
        <w:jc w:val="both"/>
        <w:rPr>
          <w:rFonts w:ascii="Verdana" w:hAnsi="Verdana"/>
          <w:sz w:val="20"/>
          <w:szCs w:val="20"/>
        </w:rPr>
      </w:pPr>
      <w:r>
        <w:rPr>
          <w:rFonts w:ascii="Verdana" w:hAnsi="Verdana"/>
          <w:sz w:val="20"/>
          <w:szCs w:val="20"/>
        </w:rPr>
        <w:t xml:space="preserve">Problémem na stavbě je, že pokud nebude archeologický výzkum proveden, není možné budovu relativně rychle staticky zajistit a bude nutné přerušit práce. To by podle vyjádření pracovníků Unistavu znamenalo převést pracovníky na jinou aktuálně probíhající stavbu a pro nás velké zdržení. </w:t>
      </w:r>
    </w:p>
    <w:p w:rsidR="00E4464B" w:rsidRDefault="00E4464B" w:rsidP="00321545">
      <w:pPr>
        <w:spacing w:after="0"/>
        <w:jc w:val="both"/>
        <w:rPr>
          <w:rFonts w:ascii="Verdana" w:hAnsi="Verdana"/>
          <w:b/>
          <w:bCs/>
          <w:noProof/>
          <w:sz w:val="20"/>
          <w:szCs w:val="20"/>
        </w:rPr>
      </w:pPr>
    </w:p>
    <w:p w:rsidR="00E42D64" w:rsidRPr="00111A18" w:rsidRDefault="00E42D64" w:rsidP="00321545">
      <w:pPr>
        <w:spacing w:after="0"/>
        <w:jc w:val="both"/>
        <w:rPr>
          <w:rFonts w:ascii="Verdana" w:hAnsi="Verdana"/>
          <w:b/>
          <w:sz w:val="20"/>
          <w:szCs w:val="20"/>
        </w:rPr>
      </w:pPr>
      <w:r w:rsidRPr="00E37462">
        <w:rPr>
          <w:rFonts w:ascii="Verdana" w:hAnsi="Verdana"/>
          <w:b/>
          <w:bCs/>
          <w:noProof/>
          <w:sz w:val="20"/>
          <w:szCs w:val="20"/>
        </w:rPr>
        <w:t xml:space="preserve">6/05 </w:t>
      </w:r>
      <w:r w:rsidRPr="00E37462">
        <w:rPr>
          <w:rFonts w:ascii="Verdana" w:hAnsi="Verdana"/>
          <w:b/>
          <w:sz w:val="20"/>
          <w:szCs w:val="20"/>
        </w:rPr>
        <w:t>Oprava přístavby objektu městské policie</w:t>
      </w:r>
    </w:p>
    <w:p w:rsidR="00E42D64" w:rsidRDefault="00E42D64" w:rsidP="00321545">
      <w:pPr>
        <w:spacing w:after="0"/>
        <w:jc w:val="both"/>
        <w:rPr>
          <w:rFonts w:ascii="Verdana" w:hAnsi="Verdana"/>
          <w:sz w:val="20"/>
          <w:szCs w:val="20"/>
        </w:rPr>
      </w:pPr>
      <w:r>
        <w:rPr>
          <w:rFonts w:ascii="Verdana" w:hAnsi="Verdana"/>
          <w:sz w:val="20"/>
          <w:szCs w:val="20"/>
        </w:rPr>
        <w:t>K budově čp. 87 na Havlíčkově náměstí v Kutné Hoře, kde je sídlo Městské policie, náleží přístavba, která je ve velmi špatném technickém stavu. Bohužel tato přístavba nebyla součástí nedávných rekonstrukcí objektu, vzhledem k tomu, že byla využívána pro uskladnění náhradního el. zdroje  a ostatních věcí. Pouze v rámci rekonstrukce střechy  byla vyměněna střešní krytina.</w:t>
      </w:r>
    </w:p>
    <w:p w:rsidR="00E42D64" w:rsidRDefault="00E42D64" w:rsidP="00321545">
      <w:pPr>
        <w:spacing w:after="0"/>
        <w:jc w:val="both"/>
        <w:rPr>
          <w:rFonts w:ascii="Verdana" w:hAnsi="Verdana"/>
          <w:sz w:val="20"/>
          <w:szCs w:val="20"/>
        </w:rPr>
      </w:pPr>
      <w:r>
        <w:rPr>
          <w:rFonts w:ascii="Verdana" w:hAnsi="Verdana"/>
          <w:sz w:val="20"/>
          <w:szCs w:val="20"/>
        </w:rPr>
        <w:t>Městská policie vznesla požadavek pro uzpůsobení této přístavby pro potřeby služebního psa.</w:t>
      </w:r>
    </w:p>
    <w:p w:rsidR="00E42D64" w:rsidRDefault="00E42D64" w:rsidP="00321545">
      <w:pPr>
        <w:spacing w:after="0"/>
        <w:jc w:val="both"/>
        <w:rPr>
          <w:rFonts w:ascii="Verdana" w:hAnsi="Verdana"/>
          <w:sz w:val="20"/>
          <w:szCs w:val="20"/>
        </w:rPr>
      </w:pPr>
      <w:r>
        <w:rPr>
          <w:rFonts w:ascii="Verdana" w:hAnsi="Verdana"/>
          <w:sz w:val="20"/>
          <w:szCs w:val="20"/>
        </w:rPr>
        <w:t xml:space="preserve">Aby byl tento požadavek splněn, musí se tato přístavba upravit. Vzhledem k tomu, že časem zdegenerovala dřevěná část střechy a úplně chybí obvodový věnec je nejprve potřeba sejmout střešní krytinu i okapy a uložit vše k </w:t>
      </w:r>
      <w:r w:rsidRPr="00274E4A">
        <w:rPr>
          <w:rFonts w:ascii="Verdana" w:hAnsi="Verdana"/>
          <w:sz w:val="20"/>
          <w:szCs w:val="20"/>
        </w:rPr>
        <w:t>opětovnému použití</w:t>
      </w:r>
      <w:r>
        <w:rPr>
          <w:rFonts w:ascii="Verdana" w:hAnsi="Verdana"/>
          <w:sz w:val="20"/>
          <w:szCs w:val="20"/>
        </w:rPr>
        <w:t>. Následně musí být odstraněny</w:t>
      </w:r>
      <w:r w:rsidRPr="00274E4A">
        <w:rPr>
          <w:rFonts w:ascii="Verdana" w:hAnsi="Verdana"/>
          <w:sz w:val="20"/>
          <w:szCs w:val="20"/>
        </w:rPr>
        <w:t xml:space="preserve"> pův</w:t>
      </w:r>
      <w:r>
        <w:rPr>
          <w:rFonts w:ascii="Verdana" w:hAnsi="Verdana"/>
          <w:sz w:val="20"/>
          <w:szCs w:val="20"/>
        </w:rPr>
        <w:t>odní poškozené dřevěné</w:t>
      </w:r>
      <w:r w:rsidRPr="00274E4A">
        <w:rPr>
          <w:rFonts w:ascii="Verdana" w:hAnsi="Verdana"/>
          <w:sz w:val="20"/>
          <w:szCs w:val="20"/>
        </w:rPr>
        <w:t xml:space="preserve"> konstrukc</w:t>
      </w:r>
      <w:r>
        <w:rPr>
          <w:rFonts w:ascii="Verdana" w:hAnsi="Verdana"/>
          <w:sz w:val="20"/>
          <w:szCs w:val="20"/>
        </w:rPr>
        <w:t>e</w:t>
      </w:r>
      <w:r w:rsidRPr="00274E4A">
        <w:rPr>
          <w:rFonts w:ascii="Verdana" w:hAnsi="Verdana"/>
          <w:sz w:val="20"/>
          <w:szCs w:val="20"/>
        </w:rPr>
        <w:t xml:space="preserve"> střechy</w:t>
      </w:r>
      <w:r>
        <w:rPr>
          <w:rFonts w:ascii="Verdana" w:hAnsi="Verdana"/>
          <w:sz w:val="20"/>
          <w:szCs w:val="20"/>
        </w:rPr>
        <w:t xml:space="preserve">. </w:t>
      </w:r>
      <w:r w:rsidRPr="00274E4A">
        <w:rPr>
          <w:rFonts w:ascii="Verdana" w:hAnsi="Verdana"/>
          <w:sz w:val="20"/>
          <w:szCs w:val="20"/>
        </w:rPr>
        <w:t>Zpevn</w:t>
      </w:r>
      <w:r>
        <w:rPr>
          <w:rFonts w:ascii="Verdana" w:hAnsi="Verdana"/>
          <w:sz w:val="20"/>
          <w:szCs w:val="20"/>
        </w:rPr>
        <w:t>it</w:t>
      </w:r>
      <w:r w:rsidRPr="00274E4A">
        <w:rPr>
          <w:rFonts w:ascii="Verdana" w:hAnsi="Verdana"/>
          <w:sz w:val="20"/>
          <w:szCs w:val="20"/>
        </w:rPr>
        <w:t xml:space="preserve"> obvodov</w:t>
      </w:r>
      <w:r>
        <w:rPr>
          <w:rFonts w:ascii="Verdana" w:hAnsi="Verdana"/>
          <w:sz w:val="20"/>
          <w:szCs w:val="20"/>
        </w:rPr>
        <w:t>é</w:t>
      </w:r>
      <w:r w:rsidRPr="00274E4A">
        <w:rPr>
          <w:rFonts w:ascii="Verdana" w:hAnsi="Verdana"/>
          <w:sz w:val="20"/>
          <w:szCs w:val="20"/>
        </w:rPr>
        <w:t xml:space="preserve"> zdiv</w:t>
      </w:r>
      <w:r>
        <w:rPr>
          <w:rFonts w:ascii="Verdana" w:hAnsi="Verdana"/>
          <w:sz w:val="20"/>
          <w:szCs w:val="20"/>
        </w:rPr>
        <w:t>o</w:t>
      </w:r>
      <w:r w:rsidRPr="00274E4A">
        <w:rPr>
          <w:rFonts w:ascii="Verdana" w:hAnsi="Verdana"/>
          <w:sz w:val="20"/>
          <w:szCs w:val="20"/>
        </w:rPr>
        <w:t xml:space="preserve"> přístavby </w:t>
      </w:r>
      <w:r>
        <w:rPr>
          <w:rFonts w:ascii="Verdana" w:hAnsi="Verdana"/>
          <w:sz w:val="20"/>
          <w:szCs w:val="20"/>
        </w:rPr>
        <w:t>a vybourat  nový vchod</w:t>
      </w:r>
      <w:r w:rsidRPr="00274E4A">
        <w:rPr>
          <w:rFonts w:ascii="Verdana" w:hAnsi="Verdana"/>
          <w:sz w:val="20"/>
          <w:szCs w:val="20"/>
        </w:rPr>
        <w:t xml:space="preserve"> do psího kotce</w:t>
      </w:r>
      <w:r>
        <w:rPr>
          <w:rFonts w:ascii="Verdana" w:hAnsi="Verdana"/>
          <w:sz w:val="20"/>
          <w:szCs w:val="20"/>
        </w:rPr>
        <w:t xml:space="preserve">. </w:t>
      </w:r>
      <w:r w:rsidRPr="00274E4A">
        <w:rPr>
          <w:rFonts w:ascii="Verdana" w:hAnsi="Verdana"/>
          <w:sz w:val="20"/>
          <w:szCs w:val="20"/>
        </w:rPr>
        <w:t>Postav</w:t>
      </w:r>
      <w:r>
        <w:rPr>
          <w:rFonts w:ascii="Verdana" w:hAnsi="Verdana"/>
          <w:sz w:val="20"/>
          <w:szCs w:val="20"/>
        </w:rPr>
        <w:t>it</w:t>
      </w:r>
      <w:r w:rsidRPr="00274E4A">
        <w:rPr>
          <w:rFonts w:ascii="Verdana" w:hAnsi="Verdana"/>
          <w:sz w:val="20"/>
          <w:szCs w:val="20"/>
        </w:rPr>
        <w:t xml:space="preserve"> dělící příčk</w:t>
      </w:r>
      <w:r>
        <w:rPr>
          <w:rFonts w:ascii="Verdana" w:hAnsi="Verdana"/>
          <w:sz w:val="20"/>
          <w:szCs w:val="20"/>
        </w:rPr>
        <w:t>u, která oddělí kotec a úložný prostor. Provést e</w:t>
      </w:r>
      <w:r w:rsidRPr="00274E4A">
        <w:rPr>
          <w:rFonts w:ascii="Verdana" w:hAnsi="Verdana"/>
          <w:sz w:val="20"/>
          <w:szCs w:val="20"/>
        </w:rPr>
        <w:t>lektroinstalac</w:t>
      </w:r>
      <w:r>
        <w:rPr>
          <w:rFonts w:ascii="Verdana" w:hAnsi="Verdana"/>
          <w:sz w:val="20"/>
          <w:szCs w:val="20"/>
        </w:rPr>
        <w:t>i</w:t>
      </w:r>
      <w:r w:rsidRPr="00274E4A">
        <w:rPr>
          <w:rFonts w:ascii="Verdana" w:hAnsi="Verdana"/>
          <w:sz w:val="20"/>
          <w:szCs w:val="20"/>
        </w:rPr>
        <w:t xml:space="preserve"> včetně topení v</w:t>
      </w:r>
      <w:r>
        <w:rPr>
          <w:rFonts w:ascii="Verdana" w:hAnsi="Verdana"/>
          <w:sz w:val="20"/>
          <w:szCs w:val="20"/>
        </w:rPr>
        <w:t> </w:t>
      </w:r>
      <w:r w:rsidRPr="00274E4A">
        <w:rPr>
          <w:rFonts w:ascii="Verdana" w:hAnsi="Verdana"/>
          <w:sz w:val="20"/>
          <w:szCs w:val="20"/>
        </w:rPr>
        <w:t>podlaze</w:t>
      </w:r>
      <w:r>
        <w:rPr>
          <w:rFonts w:ascii="Verdana" w:hAnsi="Verdana"/>
          <w:sz w:val="20"/>
          <w:szCs w:val="20"/>
        </w:rPr>
        <w:t xml:space="preserve"> pro využití v zimních měsících. Položení k</w:t>
      </w:r>
      <w:r w:rsidRPr="00274E4A">
        <w:rPr>
          <w:rFonts w:ascii="Verdana" w:hAnsi="Verdana"/>
          <w:sz w:val="20"/>
          <w:szCs w:val="20"/>
        </w:rPr>
        <w:t>eramick</w:t>
      </w:r>
      <w:r>
        <w:rPr>
          <w:rFonts w:ascii="Verdana" w:hAnsi="Verdana"/>
          <w:sz w:val="20"/>
          <w:szCs w:val="20"/>
        </w:rPr>
        <w:t>é</w:t>
      </w:r>
      <w:r w:rsidRPr="00274E4A">
        <w:rPr>
          <w:rFonts w:ascii="Verdana" w:hAnsi="Verdana"/>
          <w:sz w:val="20"/>
          <w:szCs w:val="20"/>
        </w:rPr>
        <w:t xml:space="preserve"> dlažb</w:t>
      </w:r>
      <w:r>
        <w:rPr>
          <w:rFonts w:ascii="Verdana" w:hAnsi="Verdana"/>
          <w:sz w:val="20"/>
          <w:szCs w:val="20"/>
        </w:rPr>
        <w:t>y, o</w:t>
      </w:r>
      <w:r w:rsidRPr="00274E4A">
        <w:rPr>
          <w:rFonts w:ascii="Verdana" w:hAnsi="Verdana"/>
          <w:sz w:val="20"/>
          <w:szCs w:val="20"/>
        </w:rPr>
        <w:t>sazení větracího světlíku nad vchodovými dveřmi</w:t>
      </w:r>
      <w:r>
        <w:rPr>
          <w:rFonts w:ascii="Verdana" w:hAnsi="Verdana"/>
          <w:sz w:val="20"/>
          <w:szCs w:val="20"/>
        </w:rPr>
        <w:t>, o</w:t>
      </w:r>
      <w:r w:rsidRPr="00274E4A">
        <w:rPr>
          <w:rFonts w:ascii="Verdana" w:hAnsi="Verdana"/>
          <w:sz w:val="20"/>
          <w:szCs w:val="20"/>
        </w:rPr>
        <w:t>sazení dveří a mříže</w:t>
      </w:r>
      <w:r>
        <w:rPr>
          <w:rFonts w:ascii="Verdana" w:hAnsi="Verdana"/>
          <w:sz w:val="20"/>
          <w:szCs w:val="20"/>
        </w:rPr>
        <w:t xml:space="preserve"> do kotce a o</w:t>
      </w:r>
      <w:r w:rsidRPr="00274E4A">
        <w:rPr>
          <w:rFonts w:ascii="Verdana" w:hAnsi="Verdana"/>
          <w:sz w:val="20"/>
          <w:szCs w:val="20"/>
        </w:rPr>
        <w:t>sazení protipožárních dveří do původního vchodu</w:t>
      </w:r>
      <w:r>
        <w:rPr>
          <w:rFonts w:ascii="Verdana" w:hAnsi="Verdana"/>
          <w:sz w:val="20"/>
          <w:szCs w:val="20"/>
        </w:rPr>
        <w:t xml:space="preserve"> do skladu.</w:t>
      </w:r>
    </w:p>
    <w:p w:rsidR="00821B79" w:rsidRDefault="0053448E" w:rsidP="00321545">
      <w:pPr>
        <w:spacing w:after="0"/>
        <w:jc w:val="both"/>
        <w:rPr>
          <w:rFonts w:ascii="Verdana" w:hAnsi="Verdana"/>
          <w:sz w:val="20"/>
          <w:szCs w:val="20"/>
        </w:rPr>
      </w:pPr>
      <w:r>
        <w:rPr>
          <w:rFonts w:ascii="Verdana" w:hAnsi="Verdana"/>
          <w:sz w:val="20"/>
          <w:szCs w:val="20"/>
        </w:rPr>
        <w:t xml:space="preserve">Bylo provedeno výběrové řízení na zhotovitele elektronickou formou EZAK. Termín pro podání nabídek byl dne </w:t>
      </w:r>
      <w:r w:rsidR="00321545">
        <w:rPr>
          <w:rFonts w:ascii="Verdana" w:hAnsi="Verdana"/>
          <w:sz w:val="20"/>
          <w:szCs w:val="20"/>
        </w:rPr>
        <w:t>5. 5. 2020</w:t>
      </w:r>
      <w:r>
        <w:rPr>
          <w:rFonts w:ascii="Verdana" w:hAnsi="Verdana"/>
          <w:sz w:val="20"/>
          <w:szCs w:val="20"/>
        </w:rPr>
        <w:t>. Osloveny byly tyto firmy, které podaly nabídky ceny:</w:t>
      </w:r>
    </w:p>
    <w:tbl>
      <w:tblPr>
        <w:tblpPr w:leftFromText="141" w:rightFromText="141" w:vertAnchor="text" w:horzAnchor="margin" w:tblpY="-2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127"/>
        <w:gridCol w:w="1984"/>
        <w:gridCol w:w="1134"/>
      </w:tblGrid>
      <w:tr w:rsidR="00F74C4D" w:rsidRPr="00972399" w:rsidTr="00F74C4D">
        <w:trPr>
          <w:trHeight w:val="419"/>
        </w:trPr>
        <w:tc>
          <w:tcPr>
            <w:tcW w:w="4077" w:type="dxa"/>
            <w:vAlign w:val="center"/>
          </w:tcPr>
          <w:p w:rsidR="00F74C4D" w:rsidRPr="00972399" w:rsidRDefault="00F74C4D" w:rsidP="00F74C4D">
            <w:pPr>
              <w:spacing w:after="0"/>
              <w:ind w:left="567"/>
              <w:jc w:val="both"/>
              <w:rPr>
                <w:rFonts w:ascii="Verdana" w:hAnsi="Verdana" w:cs="Arial"/>
                <w:sz w:val="20"/>
                <w:szCs w:val="20"/>
              </w:rPr>
            </w:pPr>
            <w:r w:rsidRPr="00972399">
              <w:rPr>
                <w:rFonts w:ascii="Verdana" w:hAnsi="Verdana" w:cs="Arial"/>
                <w:sz w:val="20"/>
                <w:szCs w:val="20"/>
              </w:rPr>
              <w:t>Název uchazeče</w:t>
            </w:r>
          </w:p>
        </w:tc>
        <w:tc>
          <w:tcPr>
            <w:tcW w:w="2127"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Cena bez DPH</w:t>
            </w:r>
          </w:p>
        </w:tc>
        <w:tc>
          <w:tcPr>
            <w:tcW w:w="1984"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Cena vč. DPH</w:t>
            </w:r>
          </w:p>
        </w:tc>
        <w:tc>
          <w:tcPr>
            <w:tcW w:w="1134"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pořadí</w:t>
            </w:r>
          </w:p>
        </w:tc>
      </w:tr>
      <w:tr w:rsidR="00F74C4D" w:rsidRPr="00972399" w:rsidTr="00F74C4D">
        <w:trPr>
          <w:trHeight w:val="416"/>
        </w:trPr>
        <w:tc>
          <w:tcPr>
            <w:tcW w:w="4077"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sz w:val="20"/>
                <w:szCs w:val="20"/>
              </w:rPr>
              <w:t>Stavitelství KH</w:t>
            </w:r>
          </w:p>
        </w:tc>
        <w:tc>
          <w:tcPr>
            <w:tcW w:w="2127"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143.206,00</w:t>
            </w:r>
          </w:p>
        </w:tc>
        <w:tc>
          <w:tcPr>
            <w:tcW w:w="1984"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173.279,00</w:t>
            </w:r>
          </w:p>
        </w:tc>
        <w:tc>
          <w:tcPr>
            <w:tcW w:w="1134"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2.</w:t>
            </w:r>
          </w:p>
        </w:tc>
      </w:tr>
      <w:tr w:rsidR="00F74C4D" w:rsidRPr="00972399" w:rsidTr="00F74C4D">
        <w:trPr>
          <w:trHeight w:val="424"/>
        </w:trPr>
        <w:tc>
          <w:tcPr>
            <w:tcW w:w="4077"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sz w:val="20"/>
                <w:szCs w:val="20"/>
              </w:rPr>
              <w:t xml:space="preserve">Ondřej Tunkl </w:t>
            </w:r>
          </w:p>
        </w:tc>
        <w:tc>
          <w:tcPr>
            <w:tcW w:w="2127"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134.030,00</w:t>
            </w:r>
          </w:p>
        </w:tc>
        <w:tc>
          <w:tcPr>
            <w:tcW w:w="1984"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162.176,00</w:t>
            </w:r>
          </w:p>
        </w:tc>
        <w:tc>
          <w:tcPr>
            <w:tcW w:w="1134"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1.</w:t>
            </w:r>
          </w:p>
        </w:tc>
      </w:tr>
      <w:tr w:rsidR="00F74C4D" w:rsidRPr="00972399" w:rsidTr="00F74C4D">
        <w:trPr>
          <w:trHeight w:val="409"/>
        </w:trPr>
        <w:tc>
          <w:tcPr>
            <w:tcW w:w="4077" w:type="dxa"/>
            <w:vAlign w:val="center"/>
          </w:tcPr>
          <w:p w:rsidR="00F74C4D" w:rsidRPr="00972399" w:rsidRDefault="00F74C4D" w:rsidP="00F74C4D">
            <w:pPr>
              <w:spacing w:after="0"/>
              <w:jc w:val="both"/>
              <w:rPr>
                <w:rFonts w:ascii="Verdana" w:hAnsi="Verdana"/>
                <w:sz w:val="20"/>
                <w:szCs w:val="20"/>
              </w:rPr>
            </w:pPr>
            <w:r w:rsidRPr="00972399">
              <w:rPr>
                <w:rFonts w:ascii="Verdana" w:hAnsi="Verdana"/>
                <w:sz w:val="20"/>
                <w:szCs w:val="20"/>
              </w:rPr>
              <w:t>Jan Chalupa</w:t>
            </w:r>
          </w:p>
        </w:tc>
        <w:tc>
          <w:tcPr>
            <w:tcW w:w="2127"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149.497,00</w:t>
            </w:r>
          </w:p>
        </w:tc>
        <w:tc>
          <w:tcPr>
            <w:tcW w:w="1984"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180.891,00</w:t>
            </w:r>
          </w:p>
        </w:tc>
        <w:tc>
          <w:tcPr>
            <w:tcW w:w="1134" w:type="dxa"/>
            <w:vAlign w:val="center"/>
          </w:tcPr>
          <w:p w:rsidR="00F74C4D" w:rsidRPr="00972399" w:rsidRDefault="00F74C4D" w:rsidP="00F74C4D">
            <w:pPr>
              <w:spacing w:after="0"/>
              <w:jc w:val="both"/>
              <w:rPr>
                <w:rFonts w:ascii="Verdana" w:hAnsi="Verdana" w:cs="Arial"/>
                <w:sz w:val="20"/>
                <w:szCs w:val="20"/>
              </w:rPr>
            </w:pPr>
            <w:r w:rsidRPr="00972399">
              <w:rPr>
                <w:rFonts w:ascii="Verdana" w:hAnsi="Verdana" w:cs="Arial"/>
                <w:sz w:val="20"/>
                <w:szCs w:val="20"/>
              </w:rPr>
              <w:t>3.</w:t>
            </w:r>
          </w:p>
        </w:tc>
      </w:tr>
    </w:tbl>
    <w:p w:rsidR="00F74C4D" w:rsidRDefault="00F74C4D" w:rsidP="00321545">
      <w:pPr>
        <w:spacing w:after="0"/>
        <w:jc w:val="both"/>
        <w:rPr>
          <w:rFonts w:ascii="Verdana" w:hAnsi="Verdana"/>
          <w:b/>
          <w:sz w:val="20"/>
          <w:szCs w:val="20"/>
        </w:rPr>
      </w:pPr>
      <w:bookmarkStart w:id="1" w:name="_GoBack"/>
      <w:bookmarkEnd w:id="1"/>
    </w:p>
    <w:p w:rsidR="00566E4E" w:rsidRDefault="00566E4E" w:rsidP="00321545">
      <w:pPr>
        <w:spacing w:after="0"/>
        <w:jc w:val="both"/>
        <w:rPr>
          <w:rFonts w:ascii="Verdana" w:hAnsi="Verdana"/>
          <w:b/>
          <w:sz w:val="20"/>
          <w:szCs w:val="20"/>
        </w:rPr>
      </w:pPr>
      <w:r>
        <w:rPr>
          <w:rFonts w:ascii="Verdana" w:hAnsi="Verdana"/>
          <w:b/>
          <w:sz w:val="20"/>
          <w:szCs w:val="20"/>
        </w:rPr>
        <w:t>6/06 Sportovní hala III. etapa – výsledek VŘ na vybavení nářadím</w:t>
      </w:r>
    </w:p>
    <w:p w:rsidR="00586497" w:rsidRDefault="00566E4E" w:rsidP="00321545">
      <w:pPr>
        <w:spacing w:after="0"/>
        <w:jc w:val="both"/>
        <w:rPr>
          <w:rFonts w:ascii="Verdana" w:hAnsi="Verdana"/>
          <w:b/>
          <w:sz w:val="20"/>
          <w:szCs w:val="20"/>
          <w:u w:val="single"/>
        </w:rPr>
      </w:pPr>
      <w:r>
        <w:rPr>
          <w:rFonts w:ascii="Verdana" w:hAnsi="Verdana"/>
          <w:sz w:val="20"/>
          <w:szCs w:val="20"/>
        </w:rPr>
        <w:t>Výběrové řízení proběhlo prostřednictvím E-Zak jako otevřené v režimu VZMR. Byly podány tři nabídky. Přijaté nabídky byly otevřeny, zkontrolovány a všechny přijaty do hodnocení. Jako nejvýhodnější byla při  uplatnění jediného vyhlášeného kritéria - nejnižší nabídková cena – vyhodnocena nabídka firmy Sport Club s.r.o., Bahno 99, Frýdlant nad Ostravicí za nabídnutou cenu 550.550,00 Kč včetně DPH. Dotazem byly prověřeny i referenční dodávky, které bylo podmínkou účasti každého zájemce o zakázku uvést. Reference firmy Sport club byly v pořádku a firma byla hodnocena kladně.</w:t>
      </w:r>
    </w:p>
    <w:p w:rsidR="00144ED1" w:rsidRDefault="00144ED1" w:rsidP="00321545">
      <w:pPr>
        <w:spacing w:after="0"/>
        <w:jc w:val="both"/>
        <w:rPr>
          <w:rFonts w:ascii="Verdana" w:hAnsi="Verdana"/>
          <w:b/>
          <w:sz w:val="20"/>
          <w:szCs w:val="20"/>
          <w:u w:val="single"/>
        </w:rPr>
      </w:pPr>
    </w:p>
    <w:p w:rsidR="00F375CA" w:rsidRPr="00EC1332" w:rsidRDefault="00F375CA" w:rsidP="00321545">
      <w:pPr>
        <w:spacing w:after="0"/>
        <w:jc w:val="both"/>
        <w:rPr>
          <w:rFonts w:ascii="Verdana" w:hAnsi="Verdana"/>
          <w:b/>
          <w:noProof/>
          <w:sz w:val="20"/>
          <w:szCs w:val="20"/>
        </w:rPr>
      </w:pPr>
      <w:r w:rsidRPr="00EC1332">
        <w:rPr>
          <w:rFonts w:ascii="Verdana" w:hAnsi="Verdana"/>
          <w:b/>
          <w:noProof/>
          <w:sz w:val="20"/>
          <w:szCs w:val="20"/>
        </w:rPr>
        <w:t xml:space="preserve">6/50 </w:t>
      </w:r>
      <w:r w:rsidRPr="00EC1332">
        <w:rPr>
          <w:rFonts w:ascii="Verdana" w:hAnsi="Verdana"/>
          <w:b/>
          <w:noProof/>
          <w:sz w:val="20"/>
          <w:szCs w:val="20"/>
        </w:rPr>
        <w:tab/>
        <w:t>Dodatek č. 2 ke Smlouvě o nájmu technického zařízení</w:t>
      </w:r>
    </w:p>
    <w:p w:rsidR="00F375CA" w:rsidRDefault="00F375CA" w:rsidP="00321545">
      <w:pPr>
        <w:autoSpaceDE w:val="0"/>
        <w:autoSpaceDN w:val="0"/>
        <w:adjustRightInd w:val="0"/>
        <w:spacing w:after="0"/>
        <w:jc w:val="both"/>
        <w:rPr>
          <w:rFonts w:ascii="Verdana" w:hAnsi="Verdana"/>
          <w:noProof/>
          <w:sz w:val="20"/>
          <w:szCs w:val="20"/>
        </w:rPr>
      </w:pPr>
      <w:r>
        <w:rPr>
          <w:rFonts w:ascii="Verdana" w:hAnsi="Verdana"/>
          <w:noProof/>
          <w:sz w:val="20"/>
          <w:szCs w:val="20"/>
        </w:rPr>
        <w:t xml:space="preserve">Nyní je vám předládán velmi podobný dodatek k totožné Smlouvě uzavřené dne 3.2.2020 ve věci nájmu technického zařízení pro měření rychlosti v Kouřimské ulici. Níže přiložený dodatek č.2, však po vzájemné dohodě obou stran (nájemce i pronajímatele), zkrátí termín plnění uzavřené smlouvy na polovinu. </w:t>
      </w:r>
    </w:p>
    <w:p w:rsidR="00F375CA" w:rsidRDefault="00F375CA" w:rsidP="00321545">
      <w:pPr>
        <w:autoSpaceDE w:val="0"/>
        <w:autoSpaceDN w:val="0"/>
        <w:adjustRightInd w:val="0"/>
        <w:spacing w:after="0"/>
        <w:jc w:val="both"/>
        <w:rPr>
          <w:rFonts w:ascii="Verdana" w:hAnsi="Verdana"/>
          <w:b/>
          <w:noProof/>
          <w:sz w:val="20"/>
          <w:szCs w:val="20"/>
        </w:rPr>
      </w:pPr>
    </w:p>
    <w:p w:rsidR="00F375CA" w:rsidRPr="00EC1332" w:rsidRDefault="00F375CA" w:rsidP="00321545">
      <w:pPr>
        <w:autoSpaceDE w:val="0"/>
        <w:autoSpaceDN w:val="0"/>
        <w:adjustRightInd w:val="0"/>
        <w:spacing w:after="0"/>
        <w:jc w:val="both"/>
        <w:rPr>
          <w:rFonts w:ascii="Verdana" w:hAnsi="Verdana"/>
          <w:b/>
          <w:noProof/>
          <w:sz w:val="20"/>
          <w:szCs w:val="20"/>
        </w:rPr>
      </w:pPr>
      <w:r w:rsidRPr="00EC1332">
        <w:rPr>
          <w:rFonts w:ascii="Verdana" w:hAnsi="Verdana"/>
          <w:b/>
          <w:noProof/>
          <w:sz w:val="20"/>
          <w:szCs w:val="20"/>
        </w:rPr>
        <w:t xml:space="preserve">6/51 </w:t>
      </w:r>
      <w:r w:rsidRPr="00EC1332">
        <w:rPr>
          <w:rFonts w:ascii="Verdana" w:hAnsi="Verdana"/>
          <w:b/>
          <w:noProof/>
          <w:sz w:val="20"/>
          <w:szCs w:val="20"/>
        </w:rPr>
        <w:tab/>
        <w:t xml:space="preserve">Schválení výsledku výběrového řízení k VZMR Dětská hřiště </w:t>
      </w:r>
    </w:p>
    <w:p w:rsidR="00F375CA" w:rsidRPr="00EC1332" w:rsidRDefault="00F375CA" w:rsidP="00321545">
      <w:pPr>
        <w:suppressAutoHyphens/>
        <w:spacing w:after="0"/>
        <w:jc w:val="both"/>
        <w:rPr>
          <w:rFonts w:ascii="Verdana" w:hAnsi="Verdana"/>
          <w:noProof/>
          <w:sz w:val="20"/>
          <w:szCs w:val="20"/>
        </w:rPr>
      </w:pPr>
      <w:r>
        <w:rPr>
          <w:rFonts w:ascii="Verdana" w:hAnsi="Verdana"/>
          <w:noProof/>
          <w:sz w:val="20"/>
          <w:szCs w:val="20"/>
        </w:rPr>
        <w:t xml:space="preserve">Na základě usnesení č. 224/20 ze dne 15. 4. 2020 bylo vyhlášeno zadávací řízení </w:t>
      </w:r>
      <w:r>
        <w:rPr>
          <w:rFonts w:ascii="Verdana" w:hAnsi="Verdana"/>
          <w:noProof/>
          <w:sz w:val="20"/>
          <w:szCs w:val="20"/>
        </w:rPr>
        <w:br/>
        <w:t>pro veřejnou zakázku malého rozsahu s </w:t>
      </w:r>
      <w:r w:rsidRPr="00A956D6">
        <w:rPr>
          <w:rFonts w:ascii="Verdana" w:hAnsi="Verdana"/>
          <w:noProof/>
          <w:sz w:val="20"/>
          <w:szCs w:val="20"/>
        </w:rPr>
        <w:t>názvem „Pořízení hracích prvků na dětská hřiště v Kutné Hoře“</w:t>
      </w:r>
      <w:r w:rsidRPr="00EC1332">
        <w:rPr>
          <w:rFonts w:ascii="Verdana" w:hAnsi="Verdana"/>
          <w:noProof/>
          <w:sz w:val="20"/>
          <w:szCs w:val="20"/>
        </w:rPr>
        <w:t xml:space="preserve">. </w:t>
      </w:r>
      <w:r w:rsidRPr="00C07ED1">
        <w:rPr>
          <w:rFonts w:ascii="Verdana" w:hAnsi="Verdana"/>
          <w:noProof/>
          <w:sz w:val="20"/>
          <w:szCs w:val="20"/>
        </w:rPr>
        <w:t xml:space="preserve">Základním hodnotícím kritériem </w:t>
      </w:r>
      <w:r>
        <w:rPr>
          <w:rFonts w:ascii="Verdana" w:hAnsi="Verdana"/>
          <w:noProof/>
          <w:sz w:val="20"/>
          <w:szCs w:val="20"/>
        </w:rPr>
        <w:t>byla</w:t>
      </w:r>
      <w:r w:rsidRPr="00C07ED1">
        <w:rPr>
          <w:rFonts w:ascii="Verdana" w:hAnsi="Verdana"/>
          <w:noProof/>
          <w:sz w:val="20"/>
          <w:szCs w:val="20"/>
        </w:rPr>
        <w:t xml:space="preserve"> </w:t>
      </w:r>
      <w:r w:rsidRPr="00EC1332">
        <w:rPr>
          <w:rFonts w:ascii="Verdana" w:hAnsi="Verdana"/>
          <w:noProof/>
          <w:sz w:val="20"/>
          <w:szCs w:val="20"/>
        </w:rPr>
        <w:t>nejnižší nabídková cena uvedená včetně DPH.</w:t>
      </w:r>
    </w:p>
    <w:p w:rsidR="00F375CA" w:rsidRDefault="00F375CA" w:rsidP="00321545">
      <w:pPr>
        <w:spacing w:after="0"/>
        <w:jc w:val="both"/>
        <w:rPr>
          <w:rFonts w:ascii="Verdana" w:hAnsi="Verdana"/>
          <w:b/>
          <w:noProof/>
          <w:sz w:val="20"/>
          <w:szCs w:val="20"/>
        </w:rPr>
      </w:pPr>
    </w:p>
    <w:p w:rsidR="00F375CA" w:rsidRPr="00EC1332" w:rsidRDefault="00F375CA" w:rsidP="00321545">
      <w:pPr>
        <w:spacing w:after="0"/>
        <w:jc w:val="both"/>
        <w:rPr>
          <w:rFonts w:ascii="Verdana" w:hAnsi="Verdana"/>
          <w:b/>
          <w:noProof/>
          <w:sz w:val="20"/>
          <w:szCs w:val="20"/>
        </w:rPr>
      </w:pPr>
      <w:r w:rsidRPr="00EC1332">
        <w:rPr>
          <w:rFonts w:ascii="Verdana" w:hAnsi="Verdana"/>
          <w:b/>
          <w:noProof/>
          <w:sz w:val="20"/>
          <w:szCs w:val="20"/>
        </w:rPr>
        <w:t>6/52</w:t>
      </w:r>
      <w:r w:rsidRPr="00EC1332">
        <w:rPr>
          <w:rFonts w:ascii="Verdana" w:hAnsi="Verdana"/>
          <w:b/>
          <w:noProof/>
          <w:sz w:val="20"/>
          <w:szCs w:val="20"/>
        </w:rPr>
        <w:tab/>
        <w:t>Návrh na uzavření Veřejnoprávní smlouvy-LOZ</w:t>
      </w:r>
    </w:p>
    <w:p w:rsidR="00F375CA" w:rsidRPr="00EC1332" w:rsidRDefault="00F375CA" w:rsidP="00321545">
      <w:pPr>
        <w:spacing w:after="0"/>
        <w:jc w:val="both"/>
        <w:rPr>
          <w:rFonts w:ascii="Verdana" w:hAnsi="Verdana"/>
          <w:noProof/>
          <w:sz w:val="20"/>
          <w:szCs w:val="20"/>
        </w:rPr>
      </w:pPr>
      <w:r w:rsidRPr="00EC1332">
        <w:rPr>
          <w:rFonts w:ascii="Verdana" w:hAnsi="Verdana"/>
          <w:noProof/>
          <w:sz w:val="20"/>
          <w:szCs w:val="20"/>
        </w:rPr>
        <w:t xml:space="preserve">Dne 16. 4. 2020 jsme obdrželi žádost o dotaci paní Petrů, předsedkyně místní organizace Ligy na ochranu zvířat, se sídlem Jeníkovská 1149/18, Čáslav. Město Kutná Hora přispívá každý rok finančními prostředky na činnosti prováděné výše uvedenou organizací. </w:t>
      </w:r>
    </w:p>
    <w:p w:rsidR="00F375CA" w:rsidRDefault="00F375CA" w:rsidP="00321545">
      <w:pPr>
        <w:spacing w:after="0"/>
        <w:jc w:val="both"/>
        <w:rPr>
          <w:rFonts w:ascii="Verdana" w:hAnsi="Verdana"/>
          <w:b/>
          <w:noProof/>
          <w:sz w:val="20"/>
          <w:szCs w:val="20"/>
        </w:rPr>
      </w:pPr>
    </w:p>
    <w:p w:rsidR="00F375CA" w:rsidRPr="00EC1332" w:rsidRDefault="00F375CA" w:rsidP="00321545">
      <w:pPr>
        <w:spacing w:after="0"/>
        <w:jc w:val="both"/>
        <w:rPr>
          <w:rFonts w:ascii="Verdana" w:hAnsi="Verdana"/>
          <w:b/>
          <w:noProof/>
          <w:sz w:val="20"/>
          <w:szCs w:val="20"/>
        </w:rPr>
      </w:pPr>
      <w:r w:rsidRPr="00EC1332">
        <w:rPr>
          <w:rFonts w:ascii="Verdana" w:hAnsi="Verdana"/>
          <w:b/>
          <w:noProof/>
          <w:sz w:val="20"/>
          <w:szCs w:val="20"/>
        </w:rPr>
        <w:t>6/53</w:t>
      </w:r>
      <w:r w:rsidRPr="00EC1332">
        <w:rPr>
          <w:rFonts w:ascii="Verdana" w:hAnsi="Verdana"/>
          <w:b/>
          <w:noProof/>
          <w:sz w:val="20"/>
          <w:szCs w:val="20"/>
        </w:rPr>
        <w:tab/>
        <w:t>Návrh na uzavření Dodatku 2 – EKO-PF</w:t>
      </w:r>
    </w:p>
    <w:p w:rsidR="00F375CA" w:rsidRDefault="00F375CA" w:rsidP="00321545">
      <w:pPr>
        <w:spacing w:after="0"/>
        <w:jc w:val="both"/>
        <w:rPr>
          <w:rFonts w:ascii="Verdana" w:hAnsi="Verdana"/>
          <w:noProof/>
          <w:sz w:val="20"/>
          <w:szCs w:val="20"/>
        </w:rPr>
      </w:pPr>
      <w:r>
        <w:rPr>
          <w:rFonts w:ascii="Verdana" w:hAnsi="Verdana"/>
          <w:noProof/>
          <w:sz w:val="20"/>
          <w:szCs w:val="20"/>
        </w:rPr>
        <w:t>Vzhledem k tomu, že občané města začali zodpovědně třídit použité jedlé oleje z domácností, vyjednali jsem se společností EKO-PF s.r.o.</w:t>
      </w:r>
      <w:r w:rsidRPr="00EC1332">
        <w:rPr>
          <w:rFonts w:ascii="Verdana" w:hAnsi="Verdana"/>
          <w:noProof/>
          <w:sz w:val="20"/>
          <w:szCs w:val="20"/>
        </w:rPr>
        <w:t xml:space="preserve"> se sídlem Hlincová Hora 60, 373 71 Hlincová Hora</w:t>
      </w:r>
      <w:r>
        <w:rPr>
          <w:rFonts w:ascii="Verdana" w:hAnsi="Verdana"/>
          <w:noProof/>
          <w:sz w:val="20"/>
          <w:szCs w:val="20"/>
        </w:rPr>
        <w:t xml:space="preserve"> rozšíření sběrné sítě. Společnost pro nás zajišťuje sběr a svoz jedlých olejů v PET lahvích vhozených do nádob o objemu 240 l od roku 2017. </w:t>
      </w:r>
    </w:p>
    <w:p w:rsidR="00F375CA" w:rsidRDefault="00F375CA" w:rsidP="00321545">
      <w:pPr>
        <w:spacing w:after="0"/>
        <w:jc w:val="both"/>
        <w:rPr>
          <w:rFonts w:ascii="Verdana" w:hAnsi="Verdana"/>
          <w:b/>
          <w:noProof/>
          <w:sz w:val="20"/>
          <w:szCs w:val="20"/>
        </w:rPr>
      </w:pPr>
    </w:p>
    <w:p w:rsidR="00F375CA" w:rsidRPr="00EC1332" w:rsidRDefault="00F375CA" w:rsidP="00321545">
      <w:pPr>
        <w:spacing w:after="0"/>
        <w:jc w:val="both"/>
        <w:rPr>
          <w:rFonts w:ascii="Verdana" w:hAnsi="Verdana"/>
          <w:b/>
          <w:noProof/>
          <w:sz w:val="20"/>
          <w:szCs w:val="20"/>
        </w:rPr>
      </w:pPr>
      <w:r w:rsidRPr="00EC1332">
        <w:rPr>
          <w:rFonts w:ascii="Verdana" w:hAnsi="Verdana"/>
          <w:b/>
          <w:noProof/>
          <w:sz w:val="20"/>
          <w:szCs w:val="20"/>
        </w:rPr>
        <w:t>6/54</w:t>
      </w:r>
      <w:r w:rsidRPr="00EC1332">
        <w:rPr>
          <w:rFonts w:ascii="Verdana" w:hAnsi="Verdana"/>
          <w:b/>
          <w:noProof/>
          <w:sz w:val="20"/>
          <w:szCs w:val="20"/>
        </w:rPr>
        <w:tab/>
        <w:t>Návrh na rozpočtové opatření INV – TO č. 6/20</w:t>
      </w:r>
    </w:p>
    <w:p w:rsidR="00F375CA" w:rsidRPr="007F1AD9" w:rsidRDefault="00F375CA" w:rsidP="00321545">
      <w:pPr>
        <w:autoSpaceDE w:val="0"/>
        <w:autoSpaceDN w:val="0"/>
        <w:adjustRightInd w:val="0"/>
        <w:spacing w:after="0"/>
        <w:jc w:val="both"/>
        <w:rPr>
          <w:rFonts w:ascii="Verdana" w:hAnsi="Verdana"/>
          <w:noProof/>
          <w:sz w:val="20"/>
          <w:szCs w:val="20"/>
        </w:rPr>
      </w:pPr>
      <w:r w:rsidRPr="00EC1332">
        <w:rPr>
          <w:rFonts w:ascii="Verdana" w:hAnsi="Verdana"/>
          <w:noProof/>
          <w:sz w:val="20"/>
          <w:szCs w:val="20"/>
        </w:rPr>
        <w:t>Předkládáme návrh INV-TO č. 6/20, kterým dochází k navýšení výdajové rozpočtové položky Měření r</w:t>
      </w:r>
      <w:r w:rsidR="00321545">
        <w:rPr>
          <w:rFonts w:ascii="Verdana" w:hAnsi="Verdana"/>
          <w:noProof/>
          <w:sz w:val="20"/>
          <w:szCs w:val="20"/>
        </w:rPr>
        <w:t xml:space="preserve">ychlosti nájem ve výši 203.915 </w:t>
      </w:r>
      <w:r w:rsidRPr="00EC1332">
        <w:rPr>
          <w:rFonts w:ascii="Verdana" w:hAnsi="Verdana"/>
          <w:noProof/>
          <w:sz w:val="20"/>
          <w:szCs w:val="20"/>
        </w:rPr>
        <w:t>Kč.</w:t>
      </w:r>
    </w:p>
    <w:p w:rsidR="00B45145" w:rsidRDefault="00B45145" w:rsidP="00321545">
      <w:pPr>
        <w:spacing w:after="0"/>
        <w:jc w:val="both"/>
        <w:rPr>
          <w:rFonts w:ascii="Verdana" w:hAnsi="Verdana"/>
          <w:b/>
          <w:sz w:val="20"/>
          <w:szCs w:val="20"/>
          <w:u w:val="single"/>
        </w:rPr>
      </w:pPr>
    </w:p>
    <w:p w:rsidR="00144ED1" w:rsidRDefault="00144ED1" w:rsidP="00321545">
      <w:pPr>
        <w:spacing w:after="0"/>
        <w:jc w:val="both"/>
        <w:rPr>
          <w:rFonts w:ascii="Verdana" w:hAnsi="Verdana"/>
          <w:b/>
          <w:sz w:val="20"/>
          <w:szCs w:val="20"/>
          <w:u w:val="single"/>
        </w:rPr>
      </w:pPr>
      <w:r>
        <w:rPr>
          <w:rFonts w:ascii="Verdana" w:hAnsi="Verdana"/>
          <w:b/>
          <w:sz w:val="20"/>
          <w:szCs w:val="20"/>
          <w:u w:val="single"/>
        </w:rPr>
        <w:t>Odbor sociálních věcí a zdravotnictví</w:t>
      </w:r>
    </w:p>
    <w:p w:rsidR="00144ED1" w:rsidRPr="00670B3A" w:rsidRDefault="00144ED1" w:rsidP="00321545">
      <w:pPr>
        <w:spacing w:after="0"/>
        <w:jc w:val="both"/>
        <w:rPr>
          <w:rFonts w:ascii="Verdana" w:hAnsi="Verdana"/>
          <w:b/>
          <w:noProof/>
          <w:sz w:val="20"/>
          <w:szCs w:val="20"/>
        </w:rPr>
      </w:pPr>
      <w:r w:rsidRPr="00670B3A">
        <w:rPr>
          <w:rFonts w:ascii="Verdana" w:hAnsi="Verdana"/>
          <w:b/>
          <w:sz w:val="20"/>
          <w:szCs w:val="20"/>
        </w:rPr>
        <w:t>7/01</w:t>
      </w:r>
      <w:r w:rsidRPr="00670B3A">
        <w:rPr>
          <w:rFonts w:ascii="Verdana" w:hAnsi="Verdana"/>
          <w:sz w:val="20"/>
          <w:szCs w:val="20"/>
        </w:rPr>
        <w:t xml:space="preserve"> </w:t>
      </w:r>
      <w:r w:rsidRPr="00670B3A">
        <w:rPr>
          <w:rFonts w:ascii="Verdana" w:hAnsi="Verdana"/>
          <w:b/>
          <w:noProof/>
          <w:sz w:val="20"/>
          <w:szCs w:val="20"/>
        </w:rPr>
        <w:t>Rozpočtové opatření OSZ č.3</w:t>
      </w:r>
    </w:p>
    <w:p w:rsidR="00144ED1" w:rsidRPr="00670B3A" w:rsidRDefault="00144ED1" w:rsidP="00321545">
      <w:pPr>
        <w:spacing w:after="0"/>
        <w:jc w:val="both"/>
        <w:rPr>
          <w:rFonts w:ascii="Verdana" w:hAnsi="Verdana"/>
          <w:sz w:val="20"/>
          <w:szCs w:val="20"/>
        </w:rPr>
      </w:pPr>
      <w:r w:rsidRPr="00670B3A">
        <w:rPr>
          <w:rFonts w:ascii="Verdana" w:hAnsi="Verdana"/>
          <w:sz w:val="20"/>
          <w:szCs w:val="20"/>
        </w:rPr>
        <w:t>Na základě Rozhodnutí č. 1 (čj. MPSV-2020/47464-224/1) o poskytnutí dotace z kapitoly 313 – MPSV státního rozpočtu na rok 2020 o poskytnutí dotace na výkon činnosti sociální práce podle ustanovení § 92 - § 93a zákona č. 108/2006 Sb., o sociálních službách se poskytuje dotace v celkové výši 1.619.294,- Kč na kalendářní rok 2020. Na základě výše uvedeného předkládáme návrh na rozpočtové opatření, kterým dochází k navýšení příjmů a současně k navýšení výdajů, za účelem pokrytí nákladů na výkon sociální práce dle zákonů a §§ uvedených výše.</w:t>
      </w:r>
    </w:p>
    <w:p w:rsidR="00144ED1" w:rsidRPr="00670B3A" w:rsidRDefault="00144ED1" w:rsidP="00321545">
      <w:pPr>
        <w:spacing w:after="0"/>
        <w:jc w:val="both"/>
        <w:rPr>
          <w:rFonts w:ascii="Verdana" w:hAnsi="Verdana"/>
          <w:sz w:val="20"/>
          <w:szCs w:val="20"/>
        </w:rPr>
      </w:pPr>
    </w:p>
    <w:p w:rsidR="00670B3A" w:rsidRPr="00670B3A" w:rsidRDefault="00670B3A" w:rsidP="00321545">
      <w:pPr>
        <w:spacing w:after="0"/>
        <w:jc w:val="both"/>
        <w:rPr>
          <w:rFonts w:ascii="Verdana" w:hAnsi="Verdana"/>
          <w:b/>
          <w:noProof/>
          <w:sz w:val="20"/>
          <w:szCs w:val="20"/>
        </w:rPr>
      </w:pPr>
      <w:r w:rsidRPr="00670B3A">
        <w:rPr>
          <w:rFonts w:ascii="Verdana" w:hAnsi="Verdana"/>
          <w:b/>
          <w:sz w:val="20"/>
          <w:szCs w:val="20"/>
        </w:rPr>
        <w:t>7/0</w:t>
      </w:r>
      <w:r>
        <w:rPr>
          <w:rFonts w:ascii="Verdana" w:hAnsi="Verdana"/>
          <w:b/>
          <w:sz w:val="20"/>
          <w:szCs w:val="20"/>
        </w:rPr>
        <w:t>2</w:t>
      </w:r>
      <w:r w:rsidRPr="00670B3A">
        <w:rPr>
          <w:rFonts w:ascii="Verdana" w:hAnsi="Verdana"/>
          <w:sz w:val="20"/>
          <w:szCs w:val="20"/>
        </w:rPr>
        <w:t xml:space="preserve"> </w:t>
      </w:r>
      <w:r w:rsidRPr="00670B3A">
        <w:rPr>
          <w:rFonts w:ascii="Verdana" w:hAnsi="Verdana"/>
          <w:b/>
          <w:noProof/>
          <w:sz w:val="20"/>
          <w:szCs w:val="20"/>
        </w:rPr>
        <w:t>Rozpočtové opatření OSZ č.</w:t>
      </w:r>
      <w:r>
        <w:rPr>
          <w:rFonts w:ascii="Verdana" w:hAnsi="Verdana"/>
          <w:b/>
          <w:noProof/>
          <w:sz w:val="20"/>
          <w:szCs w:val="20"/>
        </w:rPr>
        <w:t>4</w:t>
      </w:r>
    </w:p>
    <w:p w:rsidR="00144ED1" w:rsidRPr="00670B3A" w:rsidRDefault="00144ED1" w:rsidP="00321545">
      <w:pPr>
        <w:spacing w:after="0"/>
        <w:jc w:val="both"/>
        <w:rPr>
          <w:rFonts w:ascii="Verdana" w:hAnsi="Verdana"/>
          <w:sz w:val="20"/>
          <w:szCs w:val="20"/>
        </w:rPr>
      </w:pPr>
      <w:r w:rsidRPr="00670B3A">
        <w:rPr>
          <w:rFonts w:ascii="Verdana" w:hAnsi="Verdana"/>
          <w:sz w:val="20"/>
          <w:szCs w:val="20"/>
        </w:rPr>
        <w:t xml:space="preserve">Na základě Oznámení o schválení zprávy a realizaci projektu a spolu sní předložené žádosti o platbu na realizaci projektu „Podpora procesu plánování soc. služeb ve správním obvodu s rozšířenou působností Kutná Hora“ registrační číslo CZ.03.2.63/0.0/0.0/16_063/0006582, prioritní osa OPZ: 2 Sociální začleňování a boj s chudobou, byla Městu Kutná Hora přiznána dotace ve výši 1.649.500,- Kč (vlastní zdroje financování jsou ve výši 82.475,- Kč tj. 5%, dotace ve výši 1.567.025,- Kč tj. 95%). Dotace je určena na plánování sociálních služeb s ohledem na identifikované potřeby osob a skupin osob využívajících sociálních služeb a na vytíženost těchto služeb, které jsou poskytovány na území města Kutná Hora a na území SO ORP Kutná Hora. Realizace projektu je v časovém horizontu od </w:t>
      </w:r>
      <w:r w:rsidR="00321545" w:rsidRPr="00670B3A">
        <w:rPr>
          <w:rFonts w:ascii="Verdana" w:hAnsi="Verdana"/>
          <w:sz w:val="20"/>
          <w:szCs w:val="20"/>
        </w:rPr>
        <w:t>1. 5. 2018</w:t>
      </w:r>
      <w:r w:rsidRPr="00670B3A">
        <w:rPr>
          <w:rFonts w:ascii="Verdana" w:hAnsi="Verdana"/>
          <w:sz w:val="20"/>
          <w:szCs w:val="20"/>
        </w:rPr>
        <w:t xml:space="preserve"> do </w:t>
      </w:r>
      <w:r w:rsidR="00321545" w:rsidRPr="00670B3A">
        <w:rPr>
          <w:rFonts w:ascii="Verdana" w:hAnsi="Verdana"/>
          <w:sz w:val="20"/>
          <w:szCs w:val="20"/>
        </w:rPr>
        <w:t>30. 4. 2020</w:t>
      </w:r>
      <w:r w:rsidRPr="00670B3A">
        <w:rPr>
          <w:rFonts w:ascii="Verdana" w:hAnsi="Verdana"/>
          <w:sz w:val="20"/>
          <w:szCs w:val="20"/>
        </w:rPr>
        <w:t xml:space="preserve">. Dotace bude </w:t>
      </w:r>
      <w:r w:rsidRPr="00670B3A">
        <w:rPr>
          <w:rFonts w:ascii="Verdana" w:hAnsi="Verdana"/>
          <w:sz w:val="20"/>
          <w:szCs w:val="20"/>
        </w:rPr>
        <w:lastRenderedPageBreak/>
        <w:t xml:space="preserve">poskytnuta ve splátkách v závislosti na postupu realizace projektu. Tímto rozpočtovým opatřením zapojujeme platbu č. 4 ve výši 542.161,45 Kč. Navrhujeme zvýšení rozpočtových příjmů a výdajů odboru sociálních věcí a zdravotnictví o částku 542.161,45 Kč. </w:t>
      </w:r>
    </w:p>
    <w:p w:rsidR="00144ED1" w:rsidRDefault="00144ED1" w:rsidP="00321545">
      <w:pPr>
        <w:spacing w:after="0"/>
        <w:jc w:val="both"/>
        <w:rPr>
          <w:rFonts w:ascii="Verdana" w:hAnsi="Verdana"/>
          <w:b/>
          <w:sz w:val="20"/>
          <w:szCs w:val="20"/>
          <w:u w:val="single"/>
        </w:rPr>
      </w:pPr>
    </w:p>
    <w:p w:rsidR="001E2715" w:rsidRDefault="001E2715" w:rsidP="00321545">
      <w:pPr>
        <w:spacing w:after="0"/>
        <w:jc w:val="both"/>
        <w:rPr>
          <w:rFonts w:ascii="Verdana" w:hAnsi="Verdana"/>
          <w:b/>
          <w:sz w:val="20"/>
          <w:szCs w:val="20"/>
          <w:u w:val="single"/>
        </w:rPr>
      </w:pPr>
      <w:r>
        <w:rPr>
          <w:rFonts w:ascii="Verdana" w:hAnsi="Verdana"/>
          <w:b/>
          <w:sz w:val="20"/>
          <w:szCs w:val="20"/>
          <w:u w:val="single"/>
        </w:rPr>
        <w:t>Městská policie</w:t>
      </w:r>
    </w:p>
    <w:p w:rsidR="001E2715" w:rsidRDefault="001E2715" w:rsidP="00321545">
      <w:pPr>
        <w:spacing w:after="0"/>
        <w:jc w:val="both"/>
        <w:rPr>
          <w:rFonts w:ascii="Verdana" w:hAnsi="Verdana"/>
          <w:b/>
          <w:sz w:val="20"/>
          <w:szCs w:val="20"/>
        </w:rPr>
      </w:pPr>
      <w:r w:rsidRPr="001E2715">
        <w:rPr>
          <w:rFonts w:ascii="Verdana" w:hAnsi="Verdana"/>
          <w:b/>
          <w:sz w:val="20"/>
          <w:szCs w:val="20"/>
        </w:rPr>
        <w:t xml:space="preserve">9/01 </w:t>
      </w:r>
      <w:r>
        <w:rPr>
          <w:rFonts w:ascii="Verdana" w:hAnsi="Verdana"/>
          <w:b/>
          <w:sz w:val="20"/>
          <w:szCs w:val="20"/>
        </w:rPr>
        <w:t>Bezpečnostní pracovník – Asistent prevence kriminality</w:t>
      </w:r>
    </w:p>
    <w:p w:rsidR="004F2764" w:rsidRDefault="001E2715" w:rsidP="00321545">
      <w:pPr>
        <w:spacing w:after="0"/>
        <w:jc w:val="both"/>
        <w:rPr>
          <w:rFonts w:ascii="Verdana" w:hAnsi="Verdana"/>
          <w:bCs/>
          <w:sz w:val="20"/>
          <w:szCs w:val="20"/>
        </w:rPr>
      </w:pPr>
      <w:r>
        <w:rPr>
          <w:rFonts w:ascii="Verdana" w:hAnsi="Verdana"/>
          <w:sz w:val="20"/>
          <w:szCs w:val="20"/>
        </w:rPr>
        <w:t xml:space="preserve">Městská policie Kutná Hora reaguje na stávající personální stav nedostatečného počtu strážníků a bezpečnostní situaci ve městě, dále pak v problematických lokalitách a navrhuje řešení v podobě rozšíření a doplnění pracovní pozice </w:t>
      </w:r>
      <w:r w:rsidR="00C65517">
        <w:rPr>
          <w:rFonts w:ascii="Verdana" w:hAnsi="Verdana"/>
          <w:sz w:val="20"/>
          <w:szCs w:val="20"/>
        </w:rPr>
        <w:t>„</w:t>
      </w:r>
      <w:r w:rsidRPr="00C65517">
        <w:rPr>
          <w:rFonts w:ascii="Verdana" w:hAnsi="Verdana"/>
          <w:sz w:val="20"/>
          <w:szCs w:val="20"/>
        </w:rPr>
        <w:t xml:space="preserve">Asistent prevence kriminality“. </w:t>
      </w:r>
      <w:r>
        <w:rPr>
          <w:rFonts w:ascii="Verdana" w:hAnsi="Verdana"/>
          <w:sz w:val="20"/>
          <w:szCs w:val="20"/>
        </w:rPr>
        <w:t xml:space="preserve">Uvedená pracovní pozice Asistent prevence kriminality si již získala své pevné místo v rámci realizovaných projektů MV ČR, ÚP, MPSV a to od roku 2012 – 2020. Kvalitní personální výběr a manažerské vedení těchto pracovníků dokazuje, že si zasluhují své místo v rámci personální struktury městské policie. </w:t>
      </w:r>
      <w:r>
        <w:rPr>
          <w:rFonts w:ascii="Verdana" w:hAnsi="Verdana"/>
          <w:bCs/>
          <w:sz w:val="20"/>
          <w:szCs w:val="20"/>
        </w:rPr>
        <w:t xml:space="preserve">Přínosem pracovníků Asistent prevence kriminality </w:t>
      </w:r>
      <w:r w:rsidRPr="00033EFE">
        <w:rPr>
          <w:rFonts w:ascii="Verdana" w:hAnsi="Verdana"/>
          <w:bCs/>
          <w:sz w:val="20"/>
          <w:szCs w:val="20"/>
        </w:rPr>
        <w:t>pro občany je v</w:t>
      </w:r>
      <w:r>
        <w:rPr>
          <w:rFonts w:ascii="Verdana" w:hAnsi="Verdana"/>
          <w:bCs/>
          <w:sz w:val="20"/>
          <w:szCs w:val="20"/>
        </w:rPr>
        <w:t xml:space="preserve"> </w:t>
      </w:r>
      <w:r w:rsidRPr="00033EFE">
        <w:rPr>
          <w:rFonts w:ascii="Verdana" w:hAnsi="Verdana"/>
          <w:bCs/>
          <w:sz w:val="20"/>
          <w:szCs w:val="20"/>
        </w:rPr>
        <w:t>jasném specifikování odpovědných pracovníků za jejich bezpečnost v konkrétních lokalitách města a zjednodušení vzájemné komunikace s odpovědnými institucemi při řešení každodenních problémů.</w:t>
      </w:r>
    </w:p>
    <w:p w:rsidR="001E2715" w:rsidRPr="00194606" w:rsidRDefault="001E2715" w:rsidP="00321545">
      <w:pPr>
        <w:spacing w:after="0"/>
        <w:jc w:val="both"/>
        <w:rPr>
          <w:rFonts w:ascii="Verdana" w:hAnsi="Verdana" w:cs="Calibri"/>
          <w:sz w:val="20"/>
          <w:szCs w:val="20"/>
        </w:rPr>
      </w:pPr>
      <w:r>
        <w:rPr>
          <w:rFonts w:ascii="Verdana" w:hAnsi="Verdana" w:cs="Calibri"/>
          <w:sz w:val="20"/>
          <w:szCs w:val="20"/>
        </w:rPr>
        <w:t xml:space="preserve">Letošní rozpočet městské policie již ve své rozpočtové skladbě počítá s náklady na zřízení pracovních míst asistent prevence kriminality v počtu nově požadovaných tří osob. </w:t>
      </w:r>
    </w:p>
    <w:p w:rsidR="001E2715" w:rsidRPr="001E2715" w:rsidRDefault="001E2715" w:rsidP="00321545">
      <w:pPr>
        <w:spacing w:after="0"/>
        <w:jc w:val="both"/>
        <w:rPr>
          <w:rFonts w:ascii="Verdana" w:hAnsi="Verdana"/>
          <w:b/>
          <w:sz w:val="20"/>
          <w:szCs w:val="20"/>
        </w:rPr>
      </w:pPr>
    </w:p>
    <w:p w:rsidR="001E2715" w:rsidRDefault="001E2715" w:rsidP="00321545">
      <w:pPr>
        <w:spacing w:after="0"/>
        <w:jc w:val="both"/>
        <w:rPr>
          <w:rFonts w:ascii="Verdana" w:hAnsi="Verdana"/>
          <w:b/>
          <w:sz w:val="20"/>
          <w:szCs w:val="20"/>
          <w:u w:val="single"/>
        </w:rPr>
      </w:pPr>
    </w:p>
    <w:p w:rsidR="00A96ED8" w:rsidRPr="008221D2" w:rsidRDefault="00A96ED8" w:rsidP="00321545">
      <w:pPr>
        <w:spacing w:after="0"/>
        <w:jc w:val="both"/>
        <w:rPr>
          <w:rFonts w:ascii="Verdana" w:hAnsi="Verdana" w:cs="Arial"/>
          <w:b/>
          <w:color w:val="000000"/>
          <w:sz w:val="20"/>
          <w:szCs w:val="20"/>
          <w:u w:val="single"/>
        </w:rPr>
      </w:pPr>
      <w:r w:rsidRPr="008221D2">
        <w:rPr>
          <w:rFonts w:ascii="Verdana" w:hAnsi="Verdana" w:cs="Arial"/>
          <w:b/>
          <w:color w:val="000000"/>
          <w:sz w:val="20"/>
          <w:szCs w:val="20"/>
          <w:u w:val="single"/>
        </w:rPr>
        <w:t>Oddělení cestovního ruchu a marketingu</w:t>
      </w:r>
    </w:p>
    <w:p w:rsidR="00A96ED8" w:rsidRPr="008221D2" w:rsidRDefault="00F74C4D" w:rsidP="00321545">
      <w:pPr>
        <w:spacing w:after="0"/>
        <w:jc w:val="both"/>
        <w:rPr>
          <w:rFonts w:ascii="Verdana" w:hAnsi="Verdana" w:cs="Arial"/>
          <w:b/>
          <w:color w:val="000000"/>
          <w:sz w:val="20"/>
          <w:szCs w:val="20"/>
        </w:rPr>
      </w:pPr>
      <w:hyperlink r:id="rId8" w:history="1">
        <w:r w:rsidR="00A96ED8" w:rsidRPr="008221D2">
          <w:rPr>
            <w:rStyle w:val="Hypertextovodkaz"/>
            <w:rFonts w:ascii="Verdana" w:hAnsi="Verdana" w:cs="Arial"/>
            <w:b/>
            <w:bCs/>
            <w:color w:val="auto"/>
            <w:sz w:val="20"/>
            <w:szCs w:val="20"/>
            <w:u w:val="none"/>
          </w:rPr>
          <w:t>15/01</w:t>
        </w:r>
      </w:hyperlink>
      <w:r w:rsidR="00A96ED8" w:rsidRPr="008221D2">
        <w:rPr>
          <w:rFonts w:ascii="Verdana" w:hAnsi="Verdana" w:cs="Arial"/>
          <w:b/>
          <w:bCs/>
          <w:sz w:val="20"/>
          <w:szCs w:val="20"/>
        </w:rPr>
        <w:t> </w:t>
      </w:r>
      <w:r w:rsidR="004F2764">
        <w:rPr>
          <w:rFonts w:ascii="Verdana" w:hAnsi="Verdana" w:cs="Arial"/>
          <w:b/>
          <w:sz w:val="20"/>
          <w:szCs w:val="20"/>
        </w:rPr>
        <w:t xml:space="preserve">Účetní závěrka Průvodcovské služby Kutná Hora </w:t>
      </w:r>
      <w:r w:rsidR="00A96ED8" w:rsidRPr="008221D2">
        <w:rPr>
          <w:rFonts w:ascii="Verdana" w:hAnsi="Verdana" w:cs="Arial"/>
          <w:b/>
          <w:color w:val="000000"/>
          <w:sz w:val="20"/>
          <w:szCs w:val="20"/>
        </w:rPr>
        <w:t xml:space="preserve"> </w:t>
      </w:r>
    </w:p>
    <w:p w:rsidR="001707D0" w:rsidRPr="001707D0" w:rsidRDefault="001707D0" w:rsidP="00321545">
      <w:pPr>
        <w:spacing w:after="0"/>
        <w:jc w:val="both"/>
        <w:rPr>
          <w:rFonts w:ascii="Verdana" w:hAnsi="Verdana"/>
          <w:sz w:val="20"/>
          <w:szCs w:val="20"/>
        </w:rPr>
      </w:pPr>
      <w:r w:rsidRPr="001707D0">
        <w:rPr>
          <w:rFonts w:ascii="Verdana" w:hAnsi="Verdana"/>
          <w:sz w:val="20"/>
          <w:szCs w:val="20"/>
        </w:rPr>
        <w:t xml:space="preserve">Příspěvkové organizace (PO) zřizované obcemi jsou vybranými účetními jednotkami, jejichž účetní závěrky sestavené k rozvahovému dni podléhají schvalování podle zákona č. 128/2000 Sb., o obcích ve znění pozdějších </w:t>
      </w:r>
      <w:r w:rsidR="00321545" w:rsidRPr="001707D0">
        <w:rPr>
          <w:rFonts w:ascii="Verdana" w:hAnsi="Verdana"/>
          <w:sz w:val="20"/>
          <w:szCs w:val="20"/>
        </w:rPr>
        <w:t>předpisů (viz</w:t>
      </w:r>
      <w:r w:rsidRPr="001707D0">
        <w:rPr>
          <w:rFonts w:ascii="Verdana" w:hAnsi="Verdana"/>
          <w:sz w:val="20"/>
          <w:szCs w:val="20"/>
        </w:rPr>
        <w:t xml:space="preserve"> znění par. 102, </w:t>
      </w:r>
      <w:r w:rsidR="00321545" w:rsidRPr="001707D0">
        <w:rPr>
          <w:rFonts w:ascii="Verdana" w:hAnsi="Verdana"/>
          <w:sz w:val="20"/>
          <w:szCs w:val="20"/>
        </w:rPr>
        <w:t>odst. 2, písm. p</w:t>
      </w:r>
      <w:r w:rsidRPr="001707D0">
        <w:rPr>
          <w:rFonts w:ascii="Verdana" w:hAnsi="Verdana"/>
          <w:sz w:val="20"/>
          <w:szCs w:val="20"/>
        </w:rPr>
        <w:t xml:space="preserve">) a vyhlášky č. 220/2013 Sb., ze dne </w:t>
      </w:r>
      <w:r w:rsidR="00321545" w:rsidRPr="001707D0">
        <w:rPr>
          <w:rFonts w:ascii="Verdana" w:hAnsi="Verdana"/>
          <w:sz w:val="20"/>
          <w:szCs w:val="20"/>
        </w:rPr>
        <w:t>22. 7. 2013</w:t>
      </w:r>
      <w:r w:rsidRPr="001707D0">
        <w:rPr>
          <w:rFonts w:ascii="Verdana" w:hAnsi="Verdana"/>
          <w:sz w:val="20"/>
          <w:szCs w:val="20"/>
        </w:rPr>
        <w:t>, o požadavcích na schvalování účetních závěrek některých vybraných účetních jednotek, ve znění pozdějších předpisů.</w:t>
      </w:r>
    </w:p>
    <w:p w:rsidR="001707D0" w:rsidRPr="001707D0" w:rsidRDefault="001707D0" w:rsidP="00321545">
      <w:pPr>
        <w:spacing w:after="0"/>
        <w:jc w:val="both"/>
        <w:rPr>
          <w:rFonts w:ascii="Verdana" w:hAnsi="Verdana"/>
          <w:sz w:val="20"/>
          <w:szCs w:val="20"/>
        </w:rPr>
      </w:pPr>
      <w:r w:rsidRPr="001707D0">
        <w:rPr>
          <w:rFonts w:ascii="Verdana" w:hAnsi="Verdana"/>
          <w:sz w:val="20"/>
          <w:szCs w:val="20"/>
        </w:rPr>
        <w:t>Vzhledem k  platnému znění výše uvedeného zákona a vyhlášky, předkládá Průvodcovská služba Kutná Hora radě města příslušné podklady pro schvalování účetní závěrky způsobem, který umožňuje efektivní posouzení finanční situace příspěvkové organizace.</w:t>
      </w:r>
    </w:p>
    <w:p w:rsidR="007B35A6" w:rsidRPr="008221D2" w:rsidRDefault="007B35A6" w:rsidP="00321545">
      <w:pPr>
        <w:spacing w:after="0"/>
        <w:jc w:val="both"/>
        <w:rPr>
          <w:rFonts w:ascii="Verdana" w:hAnsi="Verdana"/>
          <w:b/>
          <w:sz w:val="20"/>
          <w:szCs w:val="20"/>
          <w:u w:val="single"/>
          <w:lang w:eastAsia="x-none"/>
        </w:rPr>
      </w:pPr>
    </w:p>
    <w:sectPr w:rsidR="007B35A6" w:rsidRPr="008221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C9D" w:rsidRDefault="00EB5C9D" w:rsidP="008C5832">
      <w:pPr>
        <w:spacing w:after="0" w:line="240" w:lineRule="auto"/>
      </w:pPr>
      <w:r>
        <w:separator/>
      </w:r>
    </w:p>
  </w:endnote>
  <w:endnote w:type="continuationSeparator" w:id="0">
    <w:p w:rsidR="00EB5C9D" w:rsidRDefault="00EB5C9D" w:rsidP="008C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C9D" w:rsidRDefault="00EB5C9D" w:rsidP="008C5832">
      <w:pPr>
        <w:spacing w:after="0" w:line="240" w:lineRule="auto"/>
      </w:pPr>
      <w:r>
        <w:separator/>
      </w:r>
    </w:p>
  </w:footnote>
  <w:footnote w:type="continuationSeparator" w:id="0">
    <w:p w:rsidR="00EB5C9D" w:rsidRDefault="00EB5C9D" w:rsidP="008C5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247"/>
    <w:multiLevelType w:val="hybridMultilevel"/>
    <w:tmpl w:val="06BC9C7A"/>
    <w:lvl w:ilvl="0" w:tplc="04050011">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20F23FF"/>
    <w:multiLevelType w:val="hybridMultilevel"/>
    <w:tmpl w:val="6B028C96"/>
    <w:lvl w:ilvl="0" w:tplc="E88A7546">
      <w:start w:val="2"/>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346409F"/>
    <w:multiLevelType w:val="hybridMultilevel"/>
    <w:tmpl w:val="9B684F18"/>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05F4071C"/>
    <w:multiLevelType w:val="hybridMultilevel"/>
    <w:tmpl w:val="127450AE"/>
    <w:lvl w:ilvl="0" w:tplc="7CEE129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A5CB0"/>
    <w:multiLevelType w:val="hybridMultilevel"/>
    <w:tmpl w:val="09964372"/>
    <w:lvl w:ilvl="0" w:tplc="0CFC5BA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E74018"/>
    <w:multiLevelType w:val="hybridMultilevel"/>
    <w:tmpl w:val="4522942A"/>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37FAC"/>
    <w:multiLevelType w:val="hybridMultilevel"/>
    <w:tmpl w:val="F5CC3C02"/>
    <w:lvl w:ilvl="0" w:tplc="0CFC5BA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661FDA"/>
    <w:multiLevelType w:val="hybridMultilevel"/>
    <w:tmpl w:val="E0743EA2"/>
    <w:lvl w:ilvl="0" w:tplc="12084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D52451"/>
    <w:multiLevelType w:val="multilevel"/>
    <w:tmpl w:val="7D14FE30"/>
    <w:lvl w:ilvl="0">
      <w:start w:val="1"/>
      <w:numFmt w:val="decimal"/>
      <w:lvlText w:val="(%1)"/>
      <w:lvlJc w:val="left"/>
      <w:pPr>
        <w:tabs>
          <w:tab w:val="num" w:pos="567"/>
        </w:tabs>
        <w:ind w:left="567" w:hanging="567"/>
      </w:pPr>
      <w:rPr>
        <w:rFonts w:hint="default"/>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EF57EFB"/>
    <w:multiLevelType w:val="hybridMultilevel"/>
    <w:tmpl w:val="690C6520"/>
    <w:lvl w:ilvl="0" w:tplc="1208419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10425E35"/>
    <w:multiLevelType w:val="hybridMultilevel"/>
    <w:tmpl w:val="B0D0AC3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7D3F33"/>
    <w:multiLevelType w:val="hybridMultilevel"/>
    <w:tmpl w:val="7696F15A"/>
    <w:lvl w:ilvl="0" w:tplc="12084194">
      <w:start w:val="1"/>
      <w:numFmt w:val="decimal"/>
      <w:lvlText w:val="(%1)"/>
      <w:lvlJc w:val="left"/>
      <w:pPr>
        <w:ind w:left="720" w:hanging="360"/>
      </w:pPr>
      <w:rPr>
        <w:rFonts w:hint="default"/>
      </w:rPr>
    </w:lvl>
    <w:lvl w:ilvl="1" w:tplc="92CE73F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8C4855"/>
    <w:multiLevelType w:val="hybridMultilevel"/>
    <w:tmpl w:val="4056916A"/>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16B12B90"/>
    <w:multiLevelType w:val="hybridMultilevel"/>
    <w:tmpl w:val="D2409990"/>
    <w:lvl w:ilvl="0" w:tplc="04050017">
      <w:start w:val="1"/>
      <w:numFmt w:val="lowerLetter"/>
      <w:lvlText w:val="%1)"/>
      <w:lvlJc w:val="left"/>
      <w:pPr>
        <w:ind w:left="720" w:hanging="360"/>
      </w:pPr>
      <w:rPr>
        <w:rFonts w:hint="default"/>
      </w:rPr>
    </w:lvl>
    <w:lvl w:ilvl="1" w:tplc="92CE73F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B54F1B"/>
    <w:multiLevelType w:val="multilevel"/>
    <w:tmpl w:val="3A8456A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1E364635"/>
    <w:multiLevelType w:val="hybridMultilevel"/>
    <w:tmpl w:val="29563DCE"/>
    <w:lvl w:ilvl="0" w:tplc="0405000F">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 w15:restartNumberingAfterBreak="0">
    <w:nsid w:val="24266D6E"/>
    <w:multiLevelType w:val="hybridMultilevel"/>
    <w:tmpl w:val="0B5AC052"/>
    <w:lvl w:ilvl="0" w:tplc="12084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7C50C7"/>
    <w:multiLevelType w:val="hybridMultilevel"/>
    <w:tmpl w:val="4D1A6234"/>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8" w15:restartNumberingAfterBreak="0">
    <w:nsid w:val="27146B48"/>
    <w:multiLevelType w:val="hybridMultilevel"/>
    <w:tmpl w:val="032E5A4A"/>
    <w:lvl w:ilvl="0" w:tplc="12084194">
      <w:start w:val="1"/>
      <w:numFmt w:val="decimal"/>
      <w:lvlText w:val="(%1)"/>
      <w:lvlJc w:val="left"/>
      <w:pPr>
        <w:ind w:left="2226"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288B0916"/>
    <w:multiLevelType w:val="hybridMultilevel"/>
    <w:tmpl w:val="A35A62AC"/>
    <w:lvl w:ilvl="0" w:tplc="515223E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B87F79"/>
    <w:multiLevelType w:val="hybridMultilevel"/>
    <w:tmpl w:val="42AC1BD8"/>
    <w:lvl w:ilvl="0" w:tplc="1208419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713E97"/>
    <w:multiLevelType w:val="multilevel"/>
    <w:tmpl w:val="CC243F44"/>
    <w:lvl w:ilvl="0">
      <w:start w:val="1"/>
      <w:numFmt w:val="decimal"/>
      <w:lvlText w:val="(%1)"/>
      <w:lvlJc w:val="left"/>
      <w:pPr>
        <w:tabs>
          <w:tab w:val="num" w:pos="567"/>
        </w:tabs>
        <w:ind w:left="567" w:hanging="56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9234057"/>
    <w:multiLevelType w:val="hybridMultilevel"/>
    <w:tmpl w:val="FCA63A0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A2C5E5B"/>
    <w:multiLevelType w:val="hybridMultilevel"/>
    <w:tmpl w:val="9D4AC014"/>
    <w:lvl w:ilvl="0" w:tplc="65721F0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261E07"/>
    <w:multiLevelType w:val="hybridMultilevel"/>
    <w:tmpl w:val="3E7465D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E033D7C"/>
    <w:multiLevelType w:val="hybridMultilevel"/>
    <w:tmpl w:val="9424AA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BB2127"/>
    <w:multiLevelType w:val="hybridMultilevel"/>
    <w:tmpl w:val="BCD0F362"/>
    <w:lvl w:ilvl="0" w:tplc="12084194">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E8536F"/>
    <w:multiLevelType w:val="hybridMultilevel"/>
    <w:tmpl w:val="0FC8D6A4"/>
    <w:lvl w:ilvl="0" w:tplc="04050019">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40F06E50"/>
    <w:multiLevelType w:val="hybridMultilevel"/>
    <w:tmpl w:val="75EAF76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F958A7"/>
    <w:multiLevelType w:val="hybridMultilevel"/>
    <w:tmpl w:val="9CF88756"/>
    <w:lvl w:ilvl="0" w:tplc="1208419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46C070CD"/>
    <w:multiLevelType w:val="hybridMultilevel"/>
    <w:tmpl w:val="87E25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7195120"/>
    <w:multiLevelType w:val="hybridMultilevel"/>
    <w:tmpl w:val="71E6FE08"/>
    <w:lvl w:ilvl="0" w:tplc="76EA8A04">
      <w:start w:val="1"/>
      <w:numFmt w:val="decimal"/>
      <w:lvlText w:val="(%1)"/>
      <w:lvlJc w:val="left"/>
      <w:pPr>
        <w:ind w:left="720" w:hanging="360"/>
      </w:pPr>
      <w:rPr>
        <w:rFonts w:hint="default"/>
        <w:b w:val="0"/>
        <w:i w:val="0"/>
      </w:rPr>
    </w:lvl>
    <w:lvl w:ilvl="1" w:tplc="3484121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B11C35"/>
    <w:multiLevelType w:val="multilevel"/>
    <w:tmpl w:val="5080919A"/>
    <w:lvl w:ilvl="0">
      <w:start w:val="1"/>
      <w:numFmt w:val="decimal"/>
      <w:lvlText w:val="(%1)"/>
      <w:lvlJc w:val="left"/>
      <w:pPr>
        <w:tabs>
          <w:tab w:val="num" w:pos="567"/>
        </w:tabs>
        <w:ind w:left="567" w:hanging="567"/>
      </w:pPr>
      <w:rPr>
        <w:rFonts w:hint="default"/>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4D4B017F"/>
    <w:multiLevelType w:val="hybridMultilevel"/>
    <w:tmpl w:val="3F4CC79E"/>
    <w:lvl w:ilvl="0" w:tplc="12084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12084194">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EA1C34"/>
    <w:multiLevelType w:val="hybridMultilevel"/>
    <w:tmpl w:val="61D21B5C"/>
    <w:lvl w:ilvl="0" w:tplc="515223E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FF740F"/>
    <w:multiLevelType w:val="hybridMultilevel"/>
    <w:tmpl w:val="6C1031B8"/>
    <w:lvl w:ilvl="0" w:tplc="AD7601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8175AD"/>
    <w:multiLevelType w:val="hybridMultilevel"/>
    <w:tmpl w:val="7DA6AD0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56E84AED"/>
    <w:multiLevelType w:val="hybridMultilevel"/>
    <w:tmpl w:val="65B2FA30"/>
    <w:lvl w:ilvl="0" w:tplc="12084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12496B"/>
    <w:multiLevelType w:val="hybridMultilevel"/>
    <w:tmpl w:val="AD0E7794"/>
    <w:lvl w:ilvl="0" w:tplc="04050017">
      <w:start w:val="1"/>
      <w:numFmt w:val="lowerLetter"/>
      <w:lvlText w:val="%1)"/>
      <w:lvlJc w:val="left"/>
      <w:pPr>
        <w:ind w:left="1776" w:hanging="360"/>
      </w:pPr>
    </w:lvl>
    <w:lvl w:ilvl="1" w:tplc="04050019" w:tentative="1">
      <w:start w:val="1"/>
      <w:numFmt w:val="lowerLetter"/>
      <w:lvlText w:val="%2."/>
      <w:lvlJc w:val="left"/>
      <w:pPr>
        <w:ind w:left="2430" w:hanging="360"/>
      </w:pPr>
    </w:lvl>
    <w:lvl w:ilvl="2" w:tplc="0405001B" w:tentative="1">
      <w:start w:val="1"/>
      <w:numFmt w:val="lowerRoman"/>
      <w:lvlText w:val="%3."/>
      <w:lvlJc w:val="right"/>
      <w:pPr>
        <w:ind w:left="3150" w:hanging="180"/>
      </w:pPr>
    </w:lvl>
    <w:lvl w:ilvl="3" w:tplc="0405000F" w:tentative="1">
      <w:start w:val="1"/>
      <w:numFmt w:val="decimal"/>
      <w:lvlText w:val="%4."/>
      <w:lvlJc w:val="left"/>
      <w:pPr>
        <w:ind w:left="3870" w:hanging="360"/>
      </w:pPr>
    </w:lvl>
    <w:lvl w:ilvl="4" w:tplc="04050019" w:tentative="1">
      <w:start w:val="1"/>
      <w:numFmt w:val="lowerLetter"/>
      <w:lvlText w:val="%5."/>
      <w:lvlJc w:val="left"/>
      <w:pPr>
        <w:ind w:left="4590" w:hanging="360"/>
      </w:pPr>
    </w:lvl>
    <w:lvl w:ilvl="5" w:tplc="0405001B" w:tentative="1">
      <w:start w:val="1"/>
      <w:numFmt w:val="lowerRoman"/>
      <w:lvlText w:val="%6."/>
      <w:lvlJc w:val="right"/>
      <w:pPr>
        <w:ind w:left="5310" w:hanging="180"/>
      </w:pPr>
    </w:lvl>
    <w:lvl w:ilvl="6" w:tplc="0405000F" w:tentative="1">
      <w:start w:val="1"/>
      <w:numFmt w:val="decimal"/>
      <w:lvlText w:val="%7."/>
      <w:lvlJc w:val="left"/>
      <w:pPr>
        <w:ind w:left="6030" w:hanging="360"/>
      </w:pPr>
    </w:lvl>
    <w:lvl w:ilvl="7" w:tplc="04050019" w:tentative="1">
      <w:start w:val="1"/>
      <w:numFmt w:val="lowerLetter"/>
      <w:lvlText w:val="%8."/>
      <w:lvlJc w:val="left"/>
      <w:pPr>
        <w:ind w:left="6750" w:hanging="360"/>
      </w:pPr>
    </w:lvl>
    <w:lvl w:ilvl="8" w:tplc="0405001B" w:tentative="1">
      <w:start w:val="1"/>
      <w:numFmt w:val="lowerRoman"/>
      <w:lvlText w:val="%9."/>
      <w:lvlJc w:val="right"/>
      <w:pPr>
        <w:ind w:left="7470" w:hanging="180"/>
      </w:pPr>
    </w:lvl>
  </w:abstractNum>
  <w:abstractNum w:abstractNumId="40" w15:restartNumberingAfterBreak="0">
    <w:nsid w:val="5FD53EA2"/>
    <w:multiLevelType w:val="hybridMultilevel"/>
    <w:tmpl w:val="332C7752"/>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4781C61"/>
    <w:multiLevelType w:val="hybridMultilevel"/>
    <w:tmpl w:val="0E3C8C40"/>
    <w:lvl w:ilvl="0" w:tplc="515223E8">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5732C72"/>
    <w:multiLevelType w:val="hybridMultilevel"/>
    <w:tmpl w:val="E90E6AB2"/>
    <w:lvl w:ilvl="0" w:tplc="DDD4AAF4">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0D5BF9"/>
    <w:multiLevelType w:val="hybridMultilevel"/>
    <w:tmpl w:val="C108D7F6"/>
    <w:lvl w:ilvl="0" w:tplc="2EC25218">
      <w:numFmt w:val="bullet"/>
      <w:lvlText w:val="-"/>
      <w:lvlJc w:val="left"/>
      <w:pPr>
        <w:ind w:left="435" w:hanging="360"/>
      </w:pPr>
      <w:rPr>
        <w:rFonts w:ascii="Verdana" w:eastAsia="Times New Roman" w:hAnsi="Verdana" w:cs="Times New Roman"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44" w15:restartNumberingAfterBreak="0">
    <w:nsid w:val="67C24A02"/>
    <w:multiLevelType w:val="hybridMultilevel"/>
    <w:tmpl w:val="F8C8B262"/>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45" w15:restartNumberingAfterBreak="0">
    <w:nsid w:val="6B1B4B16"/>
    <w:multiLevelType w:val="hybridMultilevel"/>
    <w:tmpl w:val="99D4FB8E"/>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6BD06381"/>
    <w:multiLevelType w:val="hybridMultilevel"/>
    <w:tmpl w:val="30B8667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6D0C2E97"/>
    <w:multiLevelType w:val="hybridMultilevel"/>
    <w:tmpl w:val="12D25266"/>
    <w:lvl w:ilvl="0" w:tplc="0405000F">
      <w:start w:val="1"/>
      <w:numFmt w:val="decimal"/>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48" w15:restartNumberingAfterBreak="0">
    <w:nsid w:val="7120399E"/>
    <w:multiLevelType w:val="hybridMultilevel"/>
    <w:tmpl w:val="406E2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741B56"/>
    <w:multiLevelType w:val="hybridMultilevel"/>
    <w:tmpl w:val="49FA5E5A"/>
    <w:lvl w:ilvl="0" w:tplc="515223E8">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7A427A0"/>
    <w:multiLevelType w:val="hybridMultilevel"/>
    <w:tmpl w:val="CD2EF2D0"/>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1" w15:restartNumberingAfterBreak="0">
    <w:nsid w:val="79933ED6"/>
    <w:multiLevelType w:val="hybridMultilevel"/>
    <w:tmpl w:val="C7E418A0"/>
    <w:lvl w:ilvl="0" w:tplc="0CFC5BA2">
      <w:start w:val="1"/>
      <w:numFmt w:val="decimal"/>
      <w:lvlText w:val="(%1)"/>
      <w:lvlJc w:val="left"/>
      <w:pPr>
        <w:ind w:left="1570" w:hanging="360"/>
      </w:pPr>
      <w:rPr>
        <w:rFonts w:hint="default"/>
      </w:r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52" w15:restartNumberingAfterBreak="0">
    <w:nsid w:val="7E277D21"/>
    <w:multiLevelType w:val="hybridMultilevel"/>
    <w:tmpl w:val="38B02498"/>
    <w:lvl w:ilvl="0" w:tplc="1208419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3" w15:restartNumberingAfterBreak="0">
    <w:nsid w:val="7FB23658"/>
    <w:multiLevelType w:val="hybridMultilevel"/>
    <w:tmpl w:val="7418366A"/>
    <w:lvl w:ilvl="0" w:tplc="F8044076">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3"/>
  </w:num>
  <w:num w:numId="2">
    <w:abstractNumId w:val="20"/>
  </w:num>
  <w:num w:numId="3">
    <w:abstractNumId w:val="46"/>
  </w:num>
  <w:num w:numId="4">
    <w:abstractNumId w:val="8"/>
  </w:num>
  <w:num w:numId="5">
    <w:abstractNumId w:val="16"/>
  </w:num>
  <w:num w:numId="6">
    <w:abstractNumId w:val="26"/>
  </w:num>
  <w:num w:numId="7">
    <w:abstractNumId w:val="12"/>
  </w:num>
  <w:num w:numId="8">
    <w:abstractNumId w:val="39"/>
  </w:num>
  <w:num w:numId="9">
    <w:abstractNumId w:val="18"/>
  </w:num>
  <w:num w:numId="10">
    <w:abstractNumId w:val="33"/>
  </w:num>
  <w:num w:numId="11">
    <w:abstractNumId w:val="14"/>
  </w:num>
  <w:num w:numId="12">
    <w:abstractNumId w:val="29"/>
  </w:num>
  <w:num w:numId="13">
    <w:abstractNumId w:val="7"/>
  </w:num>
  <w:num w:numId="14">
    <w:abstractNumId w:val="48"/>
  </w:num>
  <w:num w:numId="15">
    <w:abstractNumId w:val="9"/>
  </w:num>
  <w:num w:numId="16">
    <w:abstractNumId w:val="17"/>
  </w:num>
  <w:num w:numId="17">
    <w:abstractNumId w:val="52"/>
  </w:num>
  <w:num w:numId="18">
    <w:abstractNumId w:val="15"/>
  </w:num>
  <w:num w:numId="19">
    <w:abstractNumId w:val="2"/>
  </w:num>
  <w:num w:numId="20">
    <w:abstractNumId w:val="38"/>
  </w:num>
  <w:num w:numId="21">
    <w:abstractNumId w:val="43"/>
  </w:num>
  <w:num w:numId="22">
    <w:abstractNumId w:val="6"/>
  </w:num>
  <w:num w:numId="23">
    <w:abstractNumId w:val="34"/>
  </w:num>
  <w:num w:numId="24">
    <w:abstractNumId w:val="36"/>
  </w:num>
  <w:num w:numId="25">
    <w:abstractNumId w:val="3"/>
  </w:num>
  <w:num w:numId="26">
    <w:abstractNumId w:val="42"/>
  </w:num>
  <w:num w:numId="27">
    <w:abstractNumId w:val="4"/>
  </w:num>
  <w:num w:numId="28">
    <w:abstractNumId w:val="51"/>
  </w:num>
  <w:num w:numId="29">
    <w:abstractNumId w:val="11"/>
  </w:num>
  <w:num w:numId="30">
    <w:abstractNumId w:val="13"/>
  </w:num>
  <w:num w:numId="31">
    <w:abstractNumId w:val="22"/>
  </w:num>
  <w:num w:numId="32">
    <w:abstractNumId w:val="0"/>
  </w:num>
  <w:num w:numId="33">
    <w:abstractNumId w:val="23"/>
  </w:num>
  <w:num w:numId="34">
    <w:abstractNumId w:val="40"/>
  </w:num>
  <w:num w:numId="35">
    <w:abstractNumId w:val="45"/>
  </w:num>
  <w:num w:numId="36">
    <w:abstractNumId w:val="10"/>
  </w:num>
  <w:num w:numId="37">
    <w:abstractNumId w:val="28"/>
  </w:num>
  <w:num w:numId="38">
    <w:abstractNumId w:val="27"/>
  </w:num>
  <w:num w:numId="39">
    <w:abstractNumId w:val="19"/>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41"/>
  </w:num>
  <w:num w:numId="43">
    <w:abstractNumId w:val="50"/>
  </w:num>
  <w:num w:numId="44">
    <w:abstractNumId w:val="37"/>
  </w:num>
  <w:num w:numId="45">
    <w:abstractNumId w:val="21"/>
  </w:num>
  <w:num w:numId="46">
    <w:abstractNumId w:val="32"/>
  </w:num>
  <w:num w:numId="47">
    <w:abstractNumId w:val="35"/>
  </w:num>
  <w:num w:numId="48">
    <w:abstractNumId w:val="24"/>
  </w:num>
  <w:num w:numId="49">
    <w:abstractNumId w:val="47"/>
  </w:num>
  <w:num w:numId="50">
    <w:abstractNumId w:val="5"/>
  </w:num>
  <w:num w:numId="51">
    <w:abstractNumId w:val="44"/>
  </w:num>
  <w:num w:numId="52">
    <w:abstractNumId w:val="31"/>
  </w:num>
  <w:num w:numId="53">
    <w:abstractNumId w:val="25"/>
  </w:num>
  <w:num w:numId="54">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18"/>
    <w:rsid w:val="00010DFC"/>
    <w:rsid w:val="0001579F"/>
    <w:rsid w:val="00041E2A"/>
    <w:rsid w:val="000B5277"/>
    <w:rsid w:val="000E5277"/>
    <w:rsid w:val="000F02BC"/>
    <w:rsid w:val="00101C11"/>
    <w:rsid w:val="00105E3B"/>
    <w:rsid w:val="0012104C"/>
    <w:rsid w:val="00122BFC"/>
    <w:rsid w:val="00144ED1"/>
    <w:rsid w:val="00154C9C"/>
    <w:rsid w:val="001707D0"/>
    <w:rsid w:val="00171004"/>
    <w:rsid w:val="0017251A"/>
    <w:rsid w:val="001857D2"/>
    <w:rsid w:val="00185A88"/>
    <w:rsid w:val="001A716D"/>
    <w:rsid w:val="001E0BED"/>
    <w:rsid w:val="001E2715"/>
    <w:rsid w:val="001E3690"/>
    <w:rsid w:val="00204E6E"/>
    <w:rsid w:val="00213E29"/>
    <w:rsid w:val="002373B9"/>
    <w:rsid w:val="00237D8E"/>
    <w:rsid w:val="00243A5C"/>
    <w:rsid w:val="00256B5C"/>
    <w:rsid w:val="00266D8E"/>
    <w:rsid w:val="00267D05"/>
    <w:rsid w:val="00271A28"/>
    <w:rsid w:val="00285F0D"/>
    <w:rsid w:val="00287EA1"/>
    <w:rsid w:val="002D33C7"/>
    <w:rsid w:val="00305CA6"/>
    <w:rsid w:val="003126E8"/>
    <w:rsid w:val="00321545"/>
    <w:rsid w:val="003320E7"/>
    <w:rsid w:val="00335172"/>
    <w:rsid w:val="00354B42"/>
    <w:rsid w:val="003579FB"/>
    <w:rsid w:val="003801C0"/>
    <w:rsid w:val="003C4618"/>
    <w:rsid w:val="003E17DD"/>
    <w:rsid w:val="003F158E"/>
    <w:rsid w:val="003F2C0E"/>
    <w:rsid w:val="003F6341"/>
    <w:rsid w:val="003F7D0F"/>
    <w:rsid w:val="00401A03"/>
    <w:rsid w:val="00415690"/>
    <w:rsid w:val="004411FD"/>
    <w:rsid w:val="004A345F"/>
    <w:rsid w:val="004C00C9"/>
    <w:rsid w:val="004D5886"/>
    <w:rsid w:val="004F2764"/>
    <w:rsid w:val="004F5DD1"/>
    <w:rsid w:val="0053448E"/>
    <w:rsid w:val="00541455"/>
    <w:rsid w:val="00550014"/>
    <w:rsid w:val="00551F6C"/>
    <w:rsid w:val="00565206"/>
    <w:rsid w:val="00565AC3"/>
    <w:rsid w:val="00566426"/>
    <w:rsid w:val="00566E4E"/>
    <w:rsid w:val="00573260"/>
    <w:rsid w:val="0057378A"/>
    <w:rsid w:val="00574467"/>
    <w:rsid w:val="00575702"/>
    <w:rsid w:val="00583676"/>
    <w:rsid w:val="005846F0"/>
    <w:rsid w:val="00584B0A"/>
    <w:rsid w:val="00586497"/>
    <w:rsid w:val="00587509"/>
    <w:rsid w:val="00592EBB"/>
    <w:rsid w:val="00594A3C"/>
    <w:rsid w:val="005B7B26"/>
    <w:rsid w:val="005C020B"/>
    <w:rsid w:val="005C3BF6"/>
    <w:rsid w:val="005D3AFA"/>
    <w:rsid w:val="005D654B"/>
    <w:rsid w:val="005F464C"/>
    <w:rsid w:val="00611C4F"/>
    <w:rsid w:val="00624285"/>
    <w:rsid w:val="00634180"/>
    <w:rsid w:val="00647C43"/>
    <w:rsid w:val="0065712F"/>
    <w:rsid w:val="00664B42"/>
    <w:rsid w:val="00670B3A"/>
    <w:rsid w:val="00673FF7"/>
    <w:rsid w:val="006806B2"/>
    <w:rsid w:val="00683E9B"/>
    <w:rsid w:val="006B3C56"/>
    <w:rsid w:val="006D25BB"/>
    <w:rsid w:val="006D5202"/>
    <w:rsid w:val="006D5DD6"/>
    <w:rsid w:val="006E22D1"/>
    <w:rsid w:val="006F107E"/>
    <w:rsid w:val="00704938"/>
    <w:rsid w:val="007351F8"/>
    <w:rsid w:val="00736074"/>
    <w:rsid w:val="00745EB4"/>
    <w:rsid w:val="00746A1B"/>
    <w:rsid w:val="00761366"/>
    <w:rsid w:val="0076735B"/>
    <w:rsid w:val="007801D0"/>
    <w:rsid w:val="00783943"/>
    <w:rsid w:val="00785578"/>
    <w:rsid w:val="007B35A6"/>
    <w:rsid w:val="007F3D77"/>
    <w:rsid w:val="00805CD7"/>
    <w:rsid w:val="00817F58"/>
    <w:rsid w:val="00821B79"/>
    <w:rsid w:val="008221D2"/>
    <w:rsid w:val="00830D7F"/>
    <w:rsid w:val="0086015F"/>
    <w:rsid w:val="00874167"/>
    <w:rsid w:val="00874E46"/>
    <w:rsid w:val="008A15AE"/>
    <w:rsid w:val="008A2A0E"/>
    <w:rsid w:val="008B6C0D"/>
    <w:rsid w:val="008B6C92"/>
    <w:rsid w:val="008C5832"/>
    <w:rsid w:val="008C6EC4"/>
    <w:rsid w:val="008D19C3"/>
    <w:rsid w:val="008E6205"/>
    <w:rsid w:val="008F14F3"/>
    <w:rsid w:val="00914FB1"/>
    <w:rsid w:val="00914FE2"/>
    <w:rsid w:val="009331E1"/>
    <w:rsid w:val="00945A6F"/>
    <w:rsid w:val="009621CF"/>
    <w:rsid w:val="00973FAB"/>
    <w:rsid w:val="0099342E"/>
    <w:rsid w:val="009B289C"/>
    <w:rsid w:val="009C530E"/>
    <w:rsid w:val="009D4C61"/>
    <w:rsid w:val="009E1A29"/>
    <w:rsid w:val="009E1FB9"/>
    <w:rsid w:val="009E2768"/>
    <w:rsid w:val="009E521E"/>
    <w:rsid w:val="00A41574"/>
    <w:rsid w:val="00A509BF"/>
    <w:rsid w:val="00A57DC1"/>
    <w:rsid w:val="00A6355D"/>
    <w:rsid w:val="00A660E8"/>
    <w:rsid w:val="00A72288"/>
    <w:rsid w:val="00A94E7B"/>
    <w:rsid w:val="00A96ED8"/>
    <w:rsid w:val="00AA5461"/>
    <w:rsid w:val="00AB5BAA"/>
    <w:rsid w:val="00AF51F7"/>
    <w:rsid w:val="00B12349"/>
    <w:rsid w:val="00B2307C"/>
    <w:rsid w:val="00B45145"/>
    <w:rsid w:val="00B64E13"/>
    <w:rsid w:val="00B85D87"/>
    <w:rsid w:val="00B93F85"/>
    <w:rsid w:val="00BA151D"/>
    <w:rsid w:val="00BA303E"/>
    <w:rsid w:val="00BB7028"/>
    <w:rsid w:val="00BC206A"/>
    <w:rsid w:val="00C07814"/>
    <w:rsid w:val="00C13769"/>
    <w:rsid w:val="00C239D9"/>
    <w:rsid w:val="00C2575E"/>
    <w:rsid w:val="00C403EF"/>
    <w:rsid w:val="00C46CD2"/>
    <w:rsid w:val="00C51566"/>
    <w:rsid w:val="00C51614"/>
    <w:rsid w:val="00C539BC"/>
    <w:rsid w:val="00C55880"/>
    <w:rsid w:val="00C57714"/>
    <w:rsid w:val="00C635F0"/>
    <w:rsid w:val="00C65517"/>
    <w:rsid w:val="00C7233E"/>
    <w:rsid w:val="00C75BF6"/>
    <w:rsid w:val="00C87B55"/>
    <w:rsid w:val="00CC3453"/>
    <w:rsid w:val="00D00DD0"/>
    <w:rsid w:val="00D12679"/>
    <w:rsid w:val="00D13867"/>
    <w:rsid w:val="00D22CCF"/>
    <w:rsid w:val="00D27A3D"/>
    <w:rsid w:val="00D34FC2"/>
    <w:rsid w:val="00D762BF"/>
    <w:rsid w:val="00D804CA"/>
    <w:rsid w:val="00D96E4A"/>
    <w:rsid w:val="00DA3EE0"/>
    <w:rsid w:val="00DB197C"/>
    <w:rsid w:val="00DB7D73"/>
    <w:rsid w:val="00DE7CFF"/>
    <w:rsid w:val="00DF6F42"/>
    <w:rsid w:val="00E036B9"/>
    <w:rsid w:val="00E14B0D"/>
    <w:rsid w:val="00E23304"/>
    <w:rsid w:val="00E42D64"/>
    <w:rsid w:val="00E4338C"/>
    <w:rsid w:val="00E4464B"/>
    <w:rsid w:val="00E86939"/>
    <w:rsid w:val="00E94393"/>
    <w:rsid w:val="00E946A1"/>
    <w:rsid w:val="00EA4705"/>
    <w:rsid w:val="00EA58AF"/>
    <w:rsid w:val="00EB5C9D"/>
    <w:rsid w:val="00ED10FF"/>
    <w:rsid w:val="00F07AD4"/>
    <w:rsid w:val="00F15099"/>
    <w:rsid w:val="00F236FD"/>
    <w:rsid w:val="00F36CA5"/>
    <w:rsid w:val="00F375CA"/>
    <w:rsid w:val="00F43266"/>
    <w:rsid w:val="00F475D1"/>
    <w:rsid w:val="00F6270C"/>
    <w:rsid w:val="00F70C8F"/>
    <w:rsid w:val="00F74C4D"/>
    <w:rsid w:val="00FE3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F944"/>
  <w15:docId w15:val="{9BD0F9D2-C4E5-4AF4-8185-D48CB124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5172"/>
  </w:style>
  <w:style w:type="paragraph" w:styleId="Nadpis1">
    <w:name w:val="heading 1"/>
    <w:basedOn w:val="Normln"/>
    <w:next w:val="Normln"/>
    <w:link w:val="Nadpis1Char"/>
    <w:uiPriority w:val="9"/>
    <w:qFormat/>
    <w:rsid w:val="008C58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8C583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
    <w:next w:val="Normln"/>
    <w:link w:val="Nadpis3Char"/>
    <w:uiPriority w:val="9"/>
    <w:semiHidden/>
    <w:unhideWhenUsed/>
    <w:qFormat/>
    <w:rsid w:val="00335172"/>
    <w:pPr>
      <w:keepNext/>
      <w:spacing w:before="240" w:after="60" w:line="240" w:lineRule="auto"/>
      <w:outlineLvl w:val="2"/>
    </w:pPr>
    <w:rPr>
      <w:rFonts w:ascii="Cambria" w:eastAsia="Times New Roman" w:hAnsi="Cambria" w:cs="Times New Roman"/>
      <w:b/>
      <w:bCs/>
      <w:sz w:val="26"/>
      <w:szCs w:val="26"/>
      <w:lang w:eastAsia="cs-CZ"/>
    </w:rPr>
  </w:style>
  <w:style w:type="paragraph" w:styleId="Nadpis5">
    <w:name w:val="heading 5"/>
    <w:basedOn w:val="Normln"/>
    <w:next w:val="Normln"/>
    <w:link w:val="Nadpis5Char"/>
    <w:uiPriority w:val="9"/>
    <w:semiHidden/>
    <w:unhideWhenUsed/>
    <w:qFormat/>
    <w:rsid w:val="00566E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335172"/>
    <w:rPr>
      <w:rFonts w:ascii="Cambria" w:eastAsia="Times New Roman" w:hAnsi="Cambria" w:cs="Times New Roman"/>
      <w:b/>
      <w:bCs/>
      <w:sz w:val="26"/>
      <w:szCs w:val="26"/>
      <w:lang w:eastAsia="cs-CZ"/>
    </w:rPr>
  </w:style>
  <w:style w:type="character" w:styleId="Hypertextovodkaz">
    <w:name w:val="Hyperlink"/>
    <w:uiPriority w:val="99"/>
    <w:unhideWhenUsed/>
    <w:rsid w:val="00335172"/>
    <w:rPr>
      <w:color w:val="0000FF"/>
      <w:u w:val="single"/>
    </w:rPr>
  </w:style>
  <w:style w:type="paragraph" w:styleId="Normlnweb">
    <w:name w:val="Normal (Web)"/>
    <w:basedOn w:val="Normln"/>
    <w:uiPriority w:val="99"/>
    <w:unhideWhenUsed/>
    <w:rsid w:val="00335172"/>
    <w:pPr>
      <w:spacing w:before="100" w:beforeAutospacing="1" w:after="100" w:afterAutospacing="1" w:line="240" w:lineRule="auto"/>
    </w:pPr>
    <w:rPr>
      <w:rFonts w:ascii="Times New Roman" w:hAnsi="Times New Roman" w:cs="Times New Roman"/>
      <w:sz w:val="24"/>
      <w:szCs w:val="24"/>
      <w:lang w:eastAsia="cs-CZ"/>
    </w:rPr>
  </w:style>
  <w:style w:type="paragraph" w:customStyle="1" w:styleId="Standard">
    <w:name w:val="Standard"/>
    <w:uiPriority w:val="99"/>
    <w:semiHidden/>
    <w:rsid w:val="00335172"/>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styleId="Siln">
    <w:name w:val="Strong"/>
    <w:basedOn w:val="Standardnpsmoodstavce"/>
    <w:uiPriority w:val="22"/>
    <w:qFormat/>
    <w:rsid w:val="00335172"/>
    <w:rPr>
      <w:b/>
      <w:bCs/>
    </w:rPr>
  </w:style>
  <w:style w:type="paragraph" w:styleId="Zkladntext2">
    <w:name w:val="Body Text 2"/>
    <w:basedOn w:val="Normln"/>
    <w:link w:val="Zkladntext2Char"/>
    <w:rsid w:val="00830D7F"/>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830D7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C5832"/>
    <w:rPr>
      <w:rFonts w:asciiTheme="majorHAnsi" w:eastAsiaTheme="majorEastAsia" w:hAnsiTheme="majorHAnsi" w:cstheme="majorBidi"/>
      <w:b/>
      <w:bCs/>
      <w:color w:val="365F91" w:themeColor="accent1" w:themeShade="BF"/>
      <w:sz w:val="28"/>
      <w:szCs w:val="28"/>
    </w:rPr>
  </w:style>
  <w:style w:type="paragraph" w:styleId="Zkladntext">
    <w:name w:val="Body Text"/>
    <w:basedOn w:val="Normln"/>
    <w:link w:val="ZkladntextChar"/>
    <w:uiPriority w:val="99"/>
    <w:semiHidden/>
    <w:unhideWhenUsed/>
    <w:rsid w:val="008C5832"/>
    <w:pPr>
      <w:spacing w:after="120"/>
    </w:pPr>
  </w:style>
  <w:style w:type="character" w:customStyle="1" w:styleId="ZkladntextChar">
    <w:name w:val="Základní text Char"/>
    <w:basedOn w:val="Standardnpsmoodstavce"/>
    <w:link w:val="Zkladntext"/>
    <w:uiPriority w:val="99"/>
    <w:semiHidden/>
    <w:rsid w:val="008C5832"/>
  </w:style>
  <w:style w:type="character" w:customStyle="1" w:styleId="Nadpis2Char">
    <w:name w:val="Nadpis 2 Char"/>
    <w:basedOn w:val="Standardnpsmoodstavce"/>
    <w:link w:val="Nadpis2"/>
    <w:semiHidden/>
    <w:rsid w:val="008C5832"/>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aliases w:val="Nad,List Paragraph,Odstavec_muj,Odstavec cíl se seznamem,Odstavec se seznamem5"/>
    <w:basedOn w:val="Normln"/>
    <w:link w:val="OdstavecseseznamemChar"/>
    <w:uiPriority w:val="99"/>
    <w:qFormat/>
    <w:rsid w:val="008C5832"/>
    <w:pPr>
      <w:spacing w:after="0" w:line="240" w:lineRule="auto"/>
      <w:ind w:left="720"/>
      <w:contextualSpacing/>
    </w:pPr>
    <w:rPr>
      <w:rFonts w:ascii="Times New Roman" w:eastAsia="Times New Roman" w:hAnsi="Times New Roman" w:cs="Times New Roman"/>
      <w:sz w:val="24"/>
      <w:szCs w:val="24"/>
      <w:lang w:eastAsia="cs-CZ"/>
    </w:rPr>
  </w:style>
  <w:style w:type="paragraph" w:styleId="Nzev">
    <w:name w:val="Title"/>
    <w:basedOn w:val="Normln"/>
    <w:link w:val="NzevChar"/>
    <w:qFormat/>
    <w:rsid w:val="008C5832"/>
    <w:pPr>
      <w:widowControl w:val="0"/>
      <w:overflowPunct w:val="0"/>
      <w:autoSpaceDE w:val="0"/>
      <w:autoSpaceDN w:val="0"/>
      <w:adjustRightInd w:val="0"/>
      <w:spacing w:before="120" w:after="0" w:line="240" w:lineRule="auto"/>
      <w:ind w:left="1416" w:hanging="1274"/>
      <w:jc w:val="center"/>
      <w:textAlignment w:val="baseline"/>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8C5832"/>
    <w:rPr>
      <w:rFonts w:ascii="Times New Roman" w:eastAsia="Times New Roman" w:hAnsi="Times New Roman" w:cs="Times New Roman"/>
      <w:b/>
      <w:sz w:val="32"/>
      <w:szCs w:val="20"/>
      <w:lang w:eastAsia="cs-CZ"/>
    </w:rPr>
  </w:style>
  <w:style w:type="paragraph" w:customStyle="1" w:styleId="Default">
    <w:name w:val="Default"/>
    <w:rsid w:val="008C583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lalnk">
    <w:name w:val="Čísla článků"/>
    <w:basedOn w:val="Normln"/>
    <w:rsid w:val="008C5832"/>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8C5832"/>
    <w:pPr>
      <w:spacing w:before="60" w:after="160"/>
    </w:pPr>
  </w:style>
  <w:style w:type="paragraph" w:customStyle="1" w:styleId="nzevzkona">
    <w:name w:val="název zákona"/>
    <w:basedOn w:val="Nzev"/>
    <w:rsid w:val="008C5832"/>
    <w:pPr>
      <w:widowControl/>
      <w:overflowPunct/>
      <w:autoSpaceDE/>
      <w:autoSpaceDN/>
      <w:adjustRightInd/>
      <w:spacing w:before="240" w:after="60"/>
      <w:ind w:left="0" w:firstLine="0"/>
      <w:textAlignment w:val="auto"/>
      <w:outlineLvl w:val="0"/>
    </w:pPr>
    <w:rPr>
      <w:rFonts w:ascii="Cambria" w:hAnsi="Cambria" w:cs="Cambria"/>
      <w:bCs/>
      <w:kern w:val="28"/>
      <w:szCs w:val="32"/>
    </w:rPr>
  </w:style>
  <w:style w:type="character" w:customStyle="1" w:styleId="normln0">
    <w:name w:val="normln"/>
    <w:rsid w:val="008C5832"/>
    <w:rPr>
      <w:sz w:val="24"/>
      <w:szCs w:val="24"/>
    </w:rPr>
  </w:style>
  <w:style w:type="paragraph" w:customStyle="1" w:styleId="normln1">
    <w:name w:val="normln1"/>
    <w:basedOn w:val="Normln"/>
    <w:rsid w:val="008C5832"/>
    <w:pPr>
      <w:spacing w:after="2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rsid w:val="008C583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8C5832"/>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8C5832"/>
    <w:rPr>
      <w:vertAlign w:val="superscript"/>
    </w:rPr>
  </w:style>
  <w:style w:type="paragraph" w:styleId="Zkladntextodsazen3">
    <w:name w:val="Body Text Indent 3"/>
    <w:basedOn w:val="Normln"/>
    <w:link w:val="Zkladntextodsazen3Char"/>
    <w:rsid w:val="008C5832"/>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8C5832"/>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8C5832"/>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8C5832"/>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C5832"/>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8C5832"/>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8C5832"/>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8C5832"/>
    <w:rPr>
      <w:rFonts w:ascii="Times New Roman" w:eastAsia="Times New Roman" w:hAnsi="Times New Roman" w:cs="Times New Roman"/>
      <w:sz w:val="24"/>
      <w:szCs w:val="24"/>
      <w:lang w:eastAsia="cs-CZ"/>
    </w:rPr>
  </w:style>
  <w:style w:type="paragraph" w:customStyle="1" w:styleId="BodyText1">
    <w:name w:val="Body Text1"/>
    <w:uiPriority w:val="99"/>
    <w:rsid w:val="006806B2"/>
    <w:pPr>
      <w:spacing w:after="0" w:line="240" w:lineRule="auto"/>
      <w:jc w:val="both"/>
    </w:pPr>
    <w:rPr>
      <w:rFonts w:ascii="Arial" w:eastAsia="Calibri" w:hAnsi="Arial" w:cs="Times New Roman"/>
      <w:color w:val="000000"/>
      <w:szCs w:val="48"/>
    </w:rPr>
  </w:style>
  <w:style w:type="character" w:customStyle="1" w:styleId="h1a2">
    <w:name w:val="h1a2"/>
    <w:basedOn w:val="Standardnpsmoodstavce"/>
    <w:rsid w:val="007B35A6"/>
    <w:rPr>
      <w:vanish/>
      <w:webHidden w:val="0"/>
      <w:specVanish w:val="0"/>
    </w:rPr>
  </w:style>
  <w:style w:type="paragraph" w:styleId="Textbubliny">
    <w:name w:val="Balloon Text"/>
    <w:basedOn w:val="Normln"/>
    <w:link w:val="TextbublinyChar"/>
    <w:uiPriority w:val="99"/>
    <w:semiHidden/>
    <w:unhideWhenUsed/>
    <w:rsid w:val="00204E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4E6E"/>
    <w:rPr>
      <w:rFonts w:ascii="Tahoma" w:hAnsi="Tahoma" w:cs="Tahoma"/>
      <w:sz w:val="16"/>
      <w:szCs w:val="16"/>
    </w:rPr>
  </w:style>
  <w:style w:type="paragraph" w:styleId="Bezmezer">
    <w:name w:val="No Spacing"/>
    <w:uiPriority w:val="1"/>
    <w:qFormat/>
    <w:rsid w:val="00C635F0"/>
    <w:pPr>
      <w:spacing w:after="0" w:line="240" w:lineRule="auto"/>
    </w:pPr>
  </w:style>
  <w:style w:type="character" w:customStyle="1" w:styleId="Nadpis5Char">
    <w:name w:val="Nadpis 5 Char"/>
    <w:basedOn w:val="Standardnpsmoodstavce"/>
    <w:link w:val="Nadpis5"/>
    <w:uiPriority w:val="9"/>
    <w:semiHidden/>
    <w:rsid w:val="00566E4E"/>
    <w:rPr>
      <w:rFonts w:asciiTheme="majorHAnsi" w:eastAsiaTheme="majorEastAsia" w:hAnsiTheme="majorHAnsi" w:cstheme="majorBidi"/>
      <w:color w:val="243F60" w:themeColor="accent1" w:themeShade="7F"/>
    </w:rPr>
  </w:style>
  <w:style w:type="character" w:customStyle="1" w:styleId="OdstavecseseznamemChar">
    <w:name w:val="Odstavec se seznamem Char"/>
    <w:aliases w:val="Nad Char,List Paragraph Char,Odstavec_muj Char,Odstavec cíl se seznamem Char,Odstavec se seznamem5 Char"/>
    <w:link w:val="Odstavecseseznamem"/>
    <w:uiPriority w:val="99"/>
    <w:qFormat/>
    <w:locked/>
    <w:rsid w:val="00566E4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545">
      <w:bodyDiv w:val="1"/>
      <w:marLeft w:val="0"/>
      <w:marRight w:val="0"/>
      <w:marTop w:val="0"/>
      <w:marBottom w:val="0"/>
      <w:divBdr>
        <w:top w:val="none" w:sz="0" w:space="0" w:color="auto"/>
        <w:left w:val="none" w:sz="0" w:space="0" w:color="auto"/>
        <w:bottom w:val="none" w:sz="0" w:space="0" w:color="auto"/>
        <w:right w:val="none" w:sz="0" w:space="0" w:color="auto"/>
      </w:divBdr>
    </w:div>
    <w:div w:id="154612233">
      <w:bodyDiv w:val="1"/>
      <w:marLeft w:val="0"/>
      <w:marRight w:val="0"/>
      <w:marTop w:val="0"/>
      <w:marBottom w:val="0"/>
      <w:divBdr>
        <w:top w:val="none" w:sz="0" w:space="0" w:color="auto"/>
        <w:left w:val="none" w:sz="0" w:space="0" w:color="auto"/>
        <w:bottom w:val="none" w:sz="0" w:space="0" w:color="auto"/>
        <w:right w:val="none" w:sz="0" w:space="0" w:color="auto"/>
      </w:divBdr>
    </w:div>
    <w:div w:id="278298173">
      <w:bodyDiv w:val="1"/>
      <w:marLeft w:val="0"/>
      <w:marRight w:val="0"/>
      <w:marTop w:val="0"/>
      <w:marBottom w:val="0"/>
      <w:divBdr>
        <w:top w:val="none" w:sz="0" w:space="0" w:color="auto"/>
        <w:left w:val="none" w:sz="0" w:space="0" w:color="auto"/>
        <w:bottom w:val="none" w:sz="0" w:space="0" w:color="auto"/>
        <w:right w:val="none" w:sz="0" w:space="0" w:color="auto"/>
      </w:divBdr>
    </w:div>
    <w:div w:id="692920636">
      <w:bodyDiv w:val="1"/>
      <w:marLeft w:val="0"/>
      <w:marRight w:val="0"/>
      <w:marTop w:val="0"/>
      <w:marBottom w:val="0"/>
      <w:divBdr>
        <w:top w:val="none" w:sz="0" w:space="0" w:color="auto"/>
        <w:left w:val="none" w:sz="0" w:space="0" w:color="auto"/>
        <w:bottom w:val="none" w:sz="0" w:space="0" w:color="auto"/>
        <w:right w:val="none" w:sz="0" w:space="0" w:color="auto"/>
      </w:divBdr>
    </w:div>
    <w:div w:id="749814056">
      <w:bodyDiv w:val="1"/>
      <w:marLeft w:val="0"/>
      <w:marRight w:val="0"/>
      <w:marTop w:val="0"/>
      <w:marBottom w:val="0"/>
      <w:divBdr>
        <w:top w:val="none" w:sz="0" w:space="0" w:color="auto"/>
        <w:left w:val="none" w:sz="0" w:space="0" w:color="auto"/>
        <w:bottom w:val="none" w:sz="0" w:space="0" w:color="auto"/>
        <w:right w:val="none" w:sz="0" w:space="0" w:color="auto"/>
      </w:divBdr>
    </w:div>
    <w:div w:id="753817253">
      <w:bodyDiv w:val="1"/>
      <w:marLeft w:val="0"/>
      <w:marRight w:val="0"/>
      <w:marTop w:val="0"/>
      <w:marBottom w:val="0"/>
      <w:divBdr>
        <w:top w:val="none" w:sz="0" w:space="0" w:color="auto"/>
        <w:left w:val="none" w:sz="0" w:space="0" w:color="auto"/>
        <w:bottom w:val="none" w:sz="0" w:space="0" w:color="auto"/>
        <w:right w:val="none" w:sz="0" w:space="0" w:color="auto"/>
      </w:divBdr>
    </w:div>
    <w:div w:id="1306812650">
      <w:bodyDiv w:val="1"/>
      <w:marLeft w:val="0"/>
      <w:marRight w:val="0"/>
      <w:marTop w:val="0"/>
      <w:marBottom w:val="0"/>
      <w:divBdr>
        <w:top w:val="none" w:sz="0" w:space="0" w:color="auto"/>
        <w:left w:val="none" w:sz="0" w:space="0" w:color="auto"/>
        <w:bottom w:val="none" w:sz="0" w:space="0" w:color="auto"/>
        <w:right w:val="none" w:sz="0" w:space="0" w:color="auto"/>
      </w:divBdr>
    </w:div>
    <w:div w:id="1459297465">
      <w:bodyDiv w:val="1"/>
      <w:marLeft w:val="0"/>
      <w:marRight w:val="0"/>
      <w:marTop w:val="0"/>
      <w:marBottom w:val="0"/>
      <w:divBdr>
        <w:top w:val="none" w:sz="0" w:space="0" w:color="auto"/>
        <w:left w:val="none" w:sz="0" w:space="0" w:color="auto"/>
        <w:bottom w:val="none" w:sz="0" w:space="0" w:color="auto"/>
        <w:right w:val="none" w:sz="0" w:space="0" w:color="auto"/>
      </w:divBdr>
    </w:div>
    <w:div w:id="1616398470">
      <w:bodyDiv w:val="1"/>
      <w:marLeft w:val="0"/>
      <w:marRight w:val="0"/>
      <w:marTop w:val="0"/>
      <w:marBottom w:val="0"/>
      <w:divBdr>
        <w:top w:val="none" w:sz="0" w:space="0" w:color="auto"/>
        <w:left w:val="none" w:sz="0" w:space="0" w:color="auto"/>
        <w:bottom w:val="none" w:sz="0" w:space="0" w:color="auto"/>
        <w:right w:val="none" w:sz="0" w:space="0" w:color="auto"/>
      </w:divBdr>
    </w:div>
    <w:div w:id="1647121564">
      <w:bodyDiv w:val="1"/>
      <w:marLeft w:val="0"/>
      <w:marRight w:val="0"/>
      <w:marTop w:val="0"/>
      <w:marBottom w:val="0"/>
      <w:divBdr>
        <w:top w:val="none" w:sz="0" w:space="0" w:color="auto"/>
        <w:left w:val="none" w:sz="0" w:space="0" w:color="auto"/>
        <w:bottom w:val="none" w:sz="0" w:space="0" w:color="auto"/>
        <w:right w:val="none" w:sz="0" w:space="0" w:color="auto"/>
      </w:divBdr>
    </w:div>
    <w:div w:id="1778015368">
      <w:bodyDiv w:val="1"/>
      <w:marLeft w:val="0"/>
      <w:marRight w:val="0"/>
      <w:marTop w:val="0"/>
      <w:marBottom w:val="0"/>
      <w:divBdr>
        <w:top w:val="none" w:sz="0" w:space="0" w:color="auto"/>
        <w:left w:val="none" w:sz="0" w:space="0" w:color="auto"/>
        <w:bottom w:val="none" w:sz="0" w:space="0" w:color="auto"/>
        <w:right w:val="none" w:sz="0" w:space="0" w:color="auto"/>
      </w:divBdr>
    </w:div>
    <w:div w:id="1883637523">
      <w:bodyDiv w:val="1"/>
      <w:marLeft w:val="0"/>
      <w:marRight w:val="0"/>
      <w:marTop w:val="0"/>
      <w:marBottom w:val="0"/>
      <w:divBdr>
        <w:top w:val="none" w:sz="0" w:space="0" w:color="auto"/>
        <w:left w:val="none" w:sz="0" w:space="0" w:color="auto"/>
        <w:bottom w:val="none" w:sz="0" w:space="0" w:color="auto"/>
        <w:right w:val="none" w:sz="0" w:space="0" w:color="auto"/>
      </w:divBdr>
    </w:div>
    <w:div w:id="2005277823">
      <w:bodyDiv w:val="1"/>
      <w:marLeft w:val="0"/>
      <w:marRight w:val="0"/>
      <w:marTop w:val="0"/>
      <w:marBottom w:val="0"/>
      <w:divBdr>
        <w:top w:val="none" w:sz="0" w:space="0" w:color="auto"/>
        <w:left w:val="none" w:sz="0" w:space="0" w:color="auto"/>
        <w:bottom w:val="none" w:sz="0" w:space="0" w:color="auto"/>
        <w:right w:val="none" w:sz="0" w:space="0" w:color="auto"/>
      </w:divBdr>
    </w:div>
    <w:div w:id="21271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41501" TargetMode="External"/><Relationship Id="rId3" Type="http://schemas.openxmlformats.org/officeDocument/2006/relationships/settings" Target="settings.xml"/><Relationship Id="rId7" Type="http://schemas.openxmlformats.org/officeDocument/2006/relationships/hyperlink" Target="http://mu.kutnahora.cz/mu/osadni-vyb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3538</Words>
  <Characters>20879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Kloudová Adéla</cp:lastModifiedBy>
  <cp:revision>3</cp:revision>
  <cp:lastPrinted>2020-01-09T07:12:00Z</cp:lastPrinted>
  <dcterms:created xsi:type="dcterms:W3CDTF">2020-05-19T13:03:00Z</dcterms:created>
  <dcterms:modified xsi:type="dcterms:W3CDTF">2020-05-19T13:04:00Z</dcterms:modified>
</cp:coreProperties>
</file>