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366" w:rsidRPr="00F105DF" w:rsidRDefault="00BE4605" w:rsidP="00761366">
      <w:pPr>
        <w:spacing w:after="0"/>
        <w:jc w:val="center"/>
        <w:rPr>
          <w:rFonts w:ascii="Verdana" w:hAnsi="Verdana" w:cs="Times New Roman"/>
          <w:b/>
          <w:sz w:val="24"/>
          <w:szCs w:val="24"/>
        </w:rPr>
      </w:pPr>
      <w:r>
        <w:rPr>
          <w:rFonts w:ascii="Verdana" w:hAnsi="Verdana" w:cs="Times New Roman"/>
          <w:b/>
          <w:sz w:val="24"/>
          <w:szCs w:val="24"/>
        </w:rPr>
        <w:t>Důvodové zprávy Z</w:t>
      </w:r>
      <w:r w:rsidR="00287EA1">
        <w:rPr>
          <w:rFonts w:ascii="Verdana" w:hAnsi="Verdana" w:cs="Times New Roman"/>
          <w:b/>
          <w:sz w:val="24"/>
          <w:szCs w:val="24"/>
        </w:rPr>
        <w:t xml:space="preserve">M </w:t>
      </w:r>
      <w:r w:rsidR="00D94D1D">
        <w:rPr>
          <w:rFonts w:ascii="Verdana" w:hAnsi="Verdana" w:cs="Times New Roman"/>
          <w:b/>
          <w:sz w:val="24"/>
          <w:szCs w:val="24"/>
        </w:rPr>
        <w:t xml:space="preserve">28. </w:t>
      </w:r>
      <w:r w:rsidR="00C25374">
        <w:rPr>
          <w:rFonts w:ascii="Verdana" w:hAnsi="Verdana" w:cs="Times New Roman"/>
          <w:b/>
          <w:sz w:val="24"/>
          <w:szCs w:val="24"/>
        </w:rPr>
        <w:t>4</w:t>
      </w:r>
      <w:r w:rsidR="00761366" w:rsidRPr="00BE4605">
        <w:rPr>
          <w:rFonts w:ascii="Verdana" w:hAnsi="Verdana" w:cs="Times New Roman"/>
          <w:b/>
          <w:sz w:val="24"/>
          <w:szCs w:val="24"/>
        </w:rPr>
        <w:t>. 20</w:t>
      </w:r>
      <w:r w:rsidRPr="00BE4605">
        <w:rPr>
          <w:rFonts w:ascii="Verdana" w:hAnsi="Verdana" w:cs="Times New Roman"/>
          <w:b/>
          <w:sz w:val="24"/>
          <w:szCs w:val="24"/>
        </w:rPr>
        <w:t>20</w:t>
      </w:r>
    </w:p>
    <w:p w:rsidR="00761366" w:rsidRPr="00F105DF" w:rsidRDefault="00761366" w:rsidP="00783943">
      <w:pPr>
        <w:spacing w:after="0"/>
        <w:jc w:val="both"/>
        <w:rPr>
          <w:rFonts w:ascii="Verdana" w:hAnsi="Verdana" w:cs="Times New Roman"/>
          <w:b/>
          <w:sz w:val="20"/>
          <w:szCs w:val="20"/>
          <w:u w:val="single"/>
        </w:rPr>
      </w:pPr>
    </w:p>
    <w:p w:rsidR="00783943" w:rsidRPr="007154F7" w:rsidRDefault="0076735B" w:rsidP="007154F7">
      <w:pPr>
        <w:spacing w:after="0"/>
        <w:jc w:val="both"/>
        <w:rPr>
          <w:rFonts w:ascii="Verdana" w:hAnsi="Verdana" w:cs="Times New Roman"/>
          <w:b/>
          <w:sz w:val="20"/>
          <w:szCs w:val="20"/>
          <w:u w:val="single"/>
        </w:rPr>
      </w:pPr>
      <w:r w:rsidRPr="007154F7">
        <w:rPr>
          <w:rFonts w:ascii="Verdana" w:hAnsi="Verdana" w:cs="Times New Roman"/>
          <w:b/>
          <w:sz w:val="20"/>
          <w:szCs w:val="20"/>
          <w:u w:val="single"/>
        </w:rPr>
        <w:t>Odbor kancelář</w:t>
      </w:r>
      <w:r w:rsidR="00761366" w:rsidRPr="007154F7">
        <w:rPr>
          <w:rFonts w:ascii="Verdana" w:hAnsi="Verdana" w:cs="Times New Roman"/>
          <w:b/>
          <w:sz w:val="20"/>
          <w:szCs w:val="20"/>
          <w:u w:val="single"/>
        </w:rPr>
        <w:t xml:space="preserve"> tajemníka</w:t>
      </w:r>
    </w:p>
    <w:p w:rsidR="00D96E4A" w:rsidRPr="007154F7" w:rsidRDefault="007154F7" w:rsidP="007154F7">
      <w:pPr>
        <w:spacing w:after="0"/>
        <w:jc w:val="both"/>
        <w:rPr>
          <w:rFonts w:ascii="Verdana" w:hAnsi="Verdana" w:cs="Times New Roman"/>
          <w:b/>
          <w:sz w:val="20"/>
          <w:szCs w:val="20"/>
        </w:rPr>
      </w:pPr>
      <w:r w:rsidRPr="007154F7">
        <w:rPr>
          <w:rFonts w:ascii="Verdana" w:hAnsi="Verdana" w:cs="Times New Roman"/>
          <w:b/>
          <w:sz w:val="20"/>
          <w:szCs w:val="20"/>
        </w:rPr>
        <w:t>1/01 Zápisy osadních výborů</w:t>
      </w:r>
    </w:p>
    <w:p w:rsidR="007154F7" w:rsidRPr="007154F7" w:rsidRDefault="007154F7" w:rsidP="007154F7">
      <w:pPr>
        <w:pStyle w:val="Nzev"/>
        <w:spacing w:before="0" w:line="276" w:lineRule="auto"/>
        <w:ind w:left="0" w:firstLine="0"/>
        <w:jc w:val="both"/>
        <w:rPr>
          <w:rFonts w:ascii="Verdana" w:hAnsi="Verdana"/>
          <w:b w:val="0"/>
          <w:sz w:val="20"/>
        </w:rPr>
      </w:pPr>
      <w:r w:rsidRPr="007154F7">
        <w:rPr>
          <w:rFonts w:ascii="Verdana" w:hAnsi="Verdana"/>
          <w:b w:val="0"/>
          <w:sz w:val="20"/>
        </w:rPr>
        <w:t xml:space="preserve">Zápisy osadních výborů jsou zveřejňovány prostřednictvím kanceláře tajemníka na webových stránkách: </w:t>
      </w:r>
      <w:hyperlink r:id="rId7" w:history="1">
        <w:r w:rsidRPr="007154F7">
          <w:rPr>
            <w:rStyle w:val="Hypertextovodkaz"/>
            <w:rFonts w:ascii="Verdana" w:hAnsi="Verdana"/>
            <w:b w:val="0"/>
            <w:color w:val="auto"/>
            <w:sz w:val="20"/>
          </w:rPr>
          <w:t>http://mu.kutnahora.cz/mu/osadni-vybory</w:t>
        </w:r>
      </w:hyperlink>
      <w:r w:rsidRPr="007154F7">
        <w:rPr>
          <w:rFonts w:ascii="Verdana" w:hAnsi="Verdana"/>
          <w:b w:val="0"/>
          <w:sz w:val="20"/>
        </w:rPr>
        <w:t xml:space="preserve"> </w:t>
      </w:r>
    </w:p>
    <w:p w:rsidR="007154F7" w:rsidRPr="007154F7" w:rsidRDefault="007154F7" w:rsidP="007154F7">
      <w:pPr>
        <w:spacing w:after="0"/>
        <w:jc w:val="both"/>
        <w:rPr>
          <w:rFonts w:ascii="Verdana" w:hAnsi="Verdana" w:cs="Times New Roman"/>
          <w:b/>
          <w:sz w:val="20"/>
          <w:szCs w:val="20"/>
          <w:u w:val="single"/>
        </w:rPr>
      </w:pPr>
    </w:p>
    <w:p w:rsidR="007154F7" w:rsidRPr="007154F7" w:rsidRDefault="007154F7" w:rsidP="007154F7">
      <w:pPr>
        <w:spacing w:after="0"/>
        <w:jc w:val="both"/>
        <w:rPr>
          <w:rFonts w:ascii="Verdana" w:hAnsi="Verdana" w:cs="Times New Roman"/>
          <w:b/>
          <w:sz w:val="20"/>
          <w:szCs w:val="20"/>
        </w:rPr>
      </w:pPr>
      <w:r w:rsidRPr="007154F7">
        <w:rPr>
          <w:rFonts w:ascii="Verdana" w:hAnsi="Verdana" w:cs="Times New Roman"/>
          <w:b/>
          <w:sz w:val="20"/>
          <w:szCs w:val="20"/>
        </w:rPr>
        <w:t>1/03 Prodloužení termínu splnění usnesení</w:t>
      </w:r>
    </w:p>
    <w:p w:rsidR="007154F7" w:rsidRPr="007154F7" w:rsidRDefault="007154F7" w:rsidP="007154F7">
      <w:pPr>
        <w:pStyle w:val="Nzev"/>
        <w:tabs>
          <w:tab w:val="left" w:pos="6804"/>
        </w:tabs>
        <w:spacing w:before="0" w:line="276" w:lineRule="auto"/>
        <w:ind w:left="0" w:firstLine="0"/>
        <w:jc w:val="both"/>
        <w:rPr>
          <w:rFonts w:ascii="Verdana" w:hAnsi="Verdana"/>
          <w:b w:val="0"/>
          <w:sz w:val="20"/>
        </w:rPr>
      </w:pPr>
      <w:r w:rsidRPr="007154F7">
        <w:rPr>
          <w:rFonts w:ascii="Verdana" w:hAnsi="Verdana"/>
          <w:b w:val="0"/>
          <w:sz w:val="20"/>
        </w:rPr>
        <w:t>Usnesením ZM č. 193/19 ze dne 10. 12. 2019 byla přijata dotace na realizaci varovných protipovodňových opatření, nicméně termín splnění byl chybně stanoven stejně pro bod I. i II. K bodu č. II usnesení není procesně možné v uloženém termínu akci realizovat. V současné době je i kvůli rozpočtovým důvodům harmonogram celé akce plánován následovně:</w:t>
      </w:r>
    </w:p>
    <w:p w:rsidR="007154F7" w:rsidRPr="007154F7" w:rsidRDefault="007154F7" w:rsidP="007154F7">
      <w:pPr>
        <w:pStyle w:val="Nzev"/>
        <w:spacing w:before="0" w:line="276" w:lineRule="auto"/>
        <w:ind w:left="0" w:firstLine="0"/>
        <w:jc w:val="both"/>
        <w:rPr>
          <w:rFonts w:ascii="Verdana" w:hAnsi="Verdana"/>
          <w:b w:val="0"/>
          <w:sz w:val="20"/>
        </w:rPr>
      </w:pPr>
      <w:r w:rsidRPr="007154F7">
        <w:rPr>
          <w:rFonts w:ascii="Verdana" w:hAnsi="Verdana"/>
          <w:b w:val="0"/>
          <w:sz w:val="20"/>
        </w:rPr>
        <w:t>- upřesnění projektové dokumentace na finální podobu: nyní až květen 2020,</w:t>
      </w:r>
    </w:p>
    <w:p w:rsidR="007154F7" w:rsidRPr="007154F7" w:rsidRDefault="007154F7" w:rsidP="007154F7">
      <w:pPr>
        <w:pStyle w:val="Nzev"/>
        <w:spacing w:before="0" w:line="276" w:lineRule="auto"/>
        <w:ind w:left="0" w:firstLine="0"/>
        <w:jc w:val="both"/>
        <w:rPr>
          <w:rFonts w:ascii="Verdana" w:hAnsi="Verdana"/>
          <w:b w:val="0"/>
          <w:sz w:val="20"/>
        </w:rPr>
      </w:pPr>
      <w:r w:rsidRPr="007154F7">
        <w:rPr>
          <w:rFonts w:ascii="Verdana" w:hAnsi="Verdana"/>
          <w:b w:val="0"/>
          <w:sz w:val="20"/>
        </w:rPr>
        <w:t>- na konci 8/2020 při sestavování rozpočtu na r. 2021 rezervovat 7 mil. Kč (70% se městu vrátí),</w:t>
      </w:r>
    </w:p>
    <w:p w:rsidR="007154F7" w:rsidRPr="007154F7" w:rsidRDefault="007154F7" w:rsidP="007154F7">
      <w:pPr>
        <w:pStyle w:val="Nzev"/>
        <w:spacing w:before="0" w:line="276" w:lineRule="auto"/>
        <w:ind w:left="0" w:firstLine="0"/>
        <w:jc w:val="both"/>
        <w:rPr>
          <w:rFonts w:ascii="Verdana" w:hAnsi="Verdana"/>
          <w:b w:val="0"/>
          <w:sz w:val="20"/>
        </w:rPr>
      </w:pPr>
      <w:r w:rsidRPr="007154F7">
        <w:rPr>
          <w:rFonts w:ascii="Verdana" w:hAnsi="Verdana"/>
          <w:b w:val="0"/>
          <w:sz w:val="20"/>
        </w:rPr>
        <w:t>- rozložení samotné realizace akce na r. 2021 – 2022, tedy 9/2021 začátek montáže rozhlasu, přes zimu bude přerušeno, na jaře (max. do léta) 2022 doděláno.</w:t>
      </w:r>
    </w:p>
    <w:p w:rsidR="007154F7" w:rsidRPr="007154F7" w:rsidRDefault="007154F7" w:rsidP="007154F7">
      <w:pPr>
        <w:pStyle w:val="Nzev"/>
        <w:spacing w:before="0" w:line="276" w:lineRule="auto"/>
        <w:ind w:left="0" w:firstLine="0"/>
        <w:jc w:val="both"/>
        <w:rPr>
          <w:rFonts w:ascii="Verdana" w:hAnsi="Verdana"/>
          <w:b w:val="0"/>
          <w:sz w:val="20"/>
        </w:rPr>
      </w:pPr>
      <w:r w:rsidRPr="007154F7">
        <w:rPr>
          <w:rFonts w:ascii="Verdana" w:hAnsi="Verdana"/>
          <w:b w:val="0"/>
          <w:sz w:val="20"/>
        </w:rPr>
        <w:t>Podrobnější informace jsou k dispozici na příslušném odboru u Mgr. Petry Holíkové.</w:t>
      </w:r>
    </w:p>
    <w:p w:rsidR="007154F7" w:rsidRPr="007154F7" w:rsidRDefault="007154F7" w:rsidP="007154F7">
      <w:pPr>
        <w:spacing w:after="0"/>
        <w:jc w:val="both"/>
        <w:rPr>
          <w:rFonts w:ascii="Verdana" w:hAnsi="Verdana"/>
          <w:sz w:val="20"/>
          <w:szCs w:val="20"/>
        </w:rPr>
      </w:pPr>
      <w:r w:rsidRPr="007154F7">
        <w:rPr>
          <w:rFonts w:ascii="Verdana" w:hAnsi="Verdana"/>
          <w:sz w:val="20"/>
          <w:szCs w:val="20"/>
        </w:rPr>
        <w:t>Na základě uvedeného kancelář tajemníka žádá o prodloužení termínu splnění usnesení do 31. 10. 22.</w:t>
      </w:r>
    </w:p>
    <w:p w:rsidR="007154F7" w:rsidRPr="007154F7" w:rsidRDefault="007154F7" w:rsidP="007154F7">
      <w:pPr>
        <w:spacing w:after="0"/>
        <w:jc w:val="both"/>
        <w:rPr>
          <w:rFonts w:ascii="Verdana" w:hAnsi="Verdana"/>
          <w:sz w:val="20"/>
          <w:szCs w:val="20"/>
        </w:rPr>
      </w:pPr>
    </w:p>
    <w:p w:rsidR="007154F7" w:rsidRPr="007154F7" w:rsidRDefault="007154F7" w:rsidP="007154F7">
      <w:pPr>
        <w:pStyle w:val="Nzev"/>
        <w:spacing w:before="0" w:line="276" w:lineRule="auto"/>
        <w:ind w:left="0" w:firstLine="0"/>
        <w:jc w:val="both"/>
        <w:rPr>
          <w:rFonts w:ascii="Verdana" w:hAnsi="Verdana"/>
          <w:sz w:val="20"/>
        </w:rPr>
      </w:pPr>
      <w:r w:rsidRPr="007154F7">
        <w:rPr>
          <w:rFonts w:ascii="Verdana" w:hAnsi="Verdana"/>
          <w:sz w:val="20"/>
        </w:rPr>
        <w:t>1/04 K odměnám neuvolněných členů ZM</w:t>
      </w:r>
    </w:p>
    <w:p w:rsidR="007154F7" w:rsidRPr="007154F7" w:rsidRDefault="007154F7" w:rsidP="007154F7">
      <w:pPr>
        <w:pStyle w:val="Nzev"/>
        <w:spacing w:before="0" w:line="276" w:lineRule="auto"/>
        <w:ind w:left="0" w:firstLine="0"/>
        <w:jc w:val="both"/>
        <w:rPr>
          <w:rFonts w:ascii="Verdana" w:hAnsi="Verdana"/>
          <w:b w:val="0"/>
          <w:sz w:val="20"/>
        </w:rPr>
      </w:pPr>
      <w:r w:rsidRPr="007154F7">
        <w:rPr>
          <w:rFonts w:ascii="Verdana" w:hAnsi="Verdana"/>
          <w:b w:val="0"/>
          <w:sz w:val="20"/>
        </w:rPr>
        <w:t xml:space="preserve">Usnesením ZM č. 193/18 ze dne 18. 12. 2018 byla schválena odměna neuvolněným členům zastupitelstva města s účinností od 1. 1. 2019. V případě změny ve funkci po tomto datu však není odměňování upraveno a dle § </w:t>
      </w:r>
      <w:proofErr w:type="gramStart"/>
      <w:r w:rsidRPr="007154F7">
        <w:rPr>
          <w:rFonts w:ascii="Verdana" w:hAnsi="Verdana"/>
          <w:b w:val="0"/>
          <w:sz w:val="20"/>
        </w:rPr>
        <w:t>72 z. o obcích</w:t>
      </w:r>
      <w:proofErr w:type="gramEnd"/>
      <w:r w:rsidRPr="007154F7">
        <w:rPr>
          <w:rFonts w:ascii="Verdana" w:hAnsi="Verdana"/>
          <w:b w:val="0"/>
          <w:sz w:val="20"/>
        </w:rPr>
        <w:t xml:space="preserve"> nelze odměnu poskytovat zpětně, tedy v případě změny ve funkci člena zastupitele a dalších není stanoven den, od kterého mají tuto odměnu obdržet a nemůže jim být vyplácena. Aby nedocházelo k diskriminačnímu jednání, kdy by některým členům odměna nebyla poskytována, je navrhováno výše uvedené usnesení, na základě kterého bude odměna v případě nového člena zastupitelstva obce (nástupu náhradníka na uvolněný mandát) poskytována ode dne složení slibu a v případě budoucích změn v obsazení ostatních jednotlivých funkcí bude odměna poskytována ode dne zvolení do příslušné funkce. Pokud by takové usnesení nebylo přijato, muselo by být příslušné usnesení schvalováno při každé jednotlivé změně ve funkci.</w:t>
      </w:r>
    </w:p>
    <w:p w:rsidR="007154F7" w:rsidRPr="007154F7" w:rsidRDefault="007154F7" w:rsidP="007154F7">
      <w:pPr>
        <w:pStyle w:val="Nzev"/>
        <w:spacing w:before="0" w:line="276" w:lineRule="auto"/>
        <w:ind w:left="0" w:firstLine="0"/>
        <w:jc w:val="both"/>
        <w:rPr>
          <w:rFonts w:ascii="Verdana" w:hAnsi="Verdana"/>
          <w:b w:val="0"/>
          <w:sz w:val="20"/>
        </w:rPr>
      </w:pPr>
    </w:p>
    <w:p w:rsidR="007154F7" w:rsidRPr="007154F7" w:rsidRDefault="007154F7" w:rsidP="007154F7">
      <w:pPr>
        <w:pStyle w:val="Nzev"/>
        <w:spacing w:before="0" w:line="276" w:lineRule="auto"/>
        <w:ind w:left="0" w:firstLine="0"/>
        <w:jc w:val="both"/>
        <w:rPr>
          <w:rFonts w:ascii="Verdana" w:hAnsi="Verdana"/>
          <w:sz w:val="20"/>
        </w:rPr>
      </w:pPr>
      <w:r w:rsidRPr="007154F7">
        <w:rPr>
          <w:rFonts w:ascii="Verdana" w:hAnsi="Verdana"/>
          <w:sz w:val="20"/>
        </w:rPr>
        <w:t>1/05 Ustavení Osadního výboru Vnitřní město</w:t>
      </w:r>
    </w:p>
    <w:p w:rsidR="007154F7" w:rsidRPr="007154F7" w:rsidRDefault="007154F7" w:rsidP="007154F7">
      <w:pPr>
        <w:pStyle w:val="Nzev"/>
        <w:spacing w:before="0" w:line="276" w:lineRule="auto"/>
        <w:ind w:left="0" w:firstLine="0"/>
        <w:jc w:val="both"/>
        <w:rPr>
          <w:rFonts w:ascii="Verdana" w:hAnsi="Verdana"/>
          <w:b w:val="0"/>
          <w:sz w:val="20"/>
        </w:rPr>
      </w:pPr>
      <w:r w:rsidRPr="007154F7">
        <w:rPr>
          <w:rFonts w:ascii="Verdana" w:hAnsi="Verdana"/>
          <w:b w:val="0"/>
          <w:sz w:val="20"/>
        </w:rPr>
        <w:t>Dne 9. 11. 2019 byla Kanceláři tajemníka doručena emailová žádost paní Kristýny Svobodové o svolání ustanovující schůze Osadního výboru Vnitřní město. Tato žádost navazovala na již podaný podnět před ZM dne 10. 9. 2019.</w:t>
      </w:r>
    </w:p>
    <w:p w:rsidR="007154F7" w:rsidRPr="007154F7" w:rsidRDefault="007154F7" w:rsidP="007154F7">
      <w:pPr>
        <w:pStyle w:val="Nzev"/>
        <w:spacing w:before="0" w:line="276" w:lineRule="auto"/>
        <w:ind w:left="0" w:firstLine="0"/>
        <w:jc w:val="both"/>
        <w:rPr>
          <w:rFonts w:ascii="Verdana" w:hAnsi="Verdana"/>
          <w:b w:val="0"/>
          <w:sz w:val="20"/>
        </w:rPr>
      </w:pPr>
      <w:r w:rsidRPr="007154F7">
        <w:rPr>
          <w:rFonts w:ascii="Verdana" w:hAnsi="Verdana"/>
          <w:b w:val="0"/>
          <w:sz w:val="20"/>
        </w:rPr>
        <w:t>Přípravný výbor byl tedy svolán na termín 7. 1. 2020, kterého se zúčastnilo celkem 30 občanů (z toho 6 občanů z městské části Vrchlice). Na tomto jednání vzešlo k požadavku zřídit osadní výbor tak, aby k němu byly připojeny cca 4 ulice spadající do městské části Vrchlice, neboť funkčně spadají do části Vnitřního města. Vzhledem k tomu, že samotní občané Vrchlice nevěděli, jak nejlépe svou situaci řešit a požadavky na možné varianty se měnily (navržené varianty – zřízení OsV Vnitřní město s rozšířením o 4 ulice / zřízení samostatného OsV Vrchlice / zřízení OsV Vnitřní město – Vrchlice / změna městské části apod.), a stejně tak k množícím se sporům ohledně počtu členů a případného předsedy nového osadního výboru, byla svolána opakovaná přípravná schůze na termín 2. 3. 2020 za účelem zjištění skutečného zájmu občanů Vrchlice o připojení k Vnitřnímu městu.</w:t>
      </w:r>
    </w:p>
    <w:p w:rsidR="007154F7" w:rsidRPr="007154F7" w:rsidRDefault="007154F7" w:rsidP="007154F7">
      <w:pPr>
        <w:pStyle w:val="Nzev"/>
        <w:spacing w:before="0" w:line="276" w:lineRule="auto"/>
        <w:ind w:left="0" w:firstLine="0"/>
        <w:jc w:val="both"/>
        <w:rPr>
          <w:rFonts w:ascii="Verdana" w:hAnsi="Verdana"/>
          <w:b w:val="0"/>
          <w:sz w:val="20"/>
        </w:rPr>
      </w:pPr>
      <w:r w:rsidRPr="007154F7">
        <w:rPr>
          <w:rFonts w:ascii="Verdana" w:hAnsi="Verdana"/>
          <w:b w:val="0"/>
          <w:sz w:val="20"/>
        </w:rPr>
        <w:lastRenderedPageBreak/>
        <w:t>Opakované přípravné schůze se zúčastnilo celkem 29 občanů s trvalým pobytem ve Vnitřním městě. Vzhledem k tomu, že již na počátku schůze se menší část těchto občanů ohradila proti možnosti spojení s občany Vrchlice, zástupce občanů Vrchlice učinil prohlášení, že již na připojení nemá zájem. Z toho důvodu je dále předkládána pouze varianta na zřízení Osadního výboru Vnitřní město.</w:t>
      </w:r>
    </w:p>
    <w:p w:rsidR="007154F7" w:rsidRPr="007154F7" w:rsidRDefault="007154F7" w:rsidP="007154F7">
      <w:pPr>
        <w:pStyle w:val="Nzev"/>
        <w:spacing w:before="0" w:line="276" w:lineRule="auto"/>
        <w:ind w:left="0" w:firstLine="0"/>
        <w:jc w:val="both"/>
        <w:rPr>
          <w:rFonts w:ascii="Verdana" w:hAnsi="Verdana"/>
          <w:b w:val="0"/>
          <w:sz w:val="20"/>
        </w:rPr>
      </w:pPr>
      <w:r w:rsidRPr="007154F7">
        <w:rPr>
          <w:rFonts w:ascii="Verdana" w:hAnsi="Verdana"/>
          <w:b w:val="0"/>
          <w:sz w:val="20"/>
        </w:rPr>
        <w:t>Z přítomných občanů Vnitřního města projevilo celkem 23 občanů svůj zájem o členství v osadním výboru, na předsedu se přihlásili 2 kandidáti. Všem občanům Vnitřního města bylo umožněno hlasovat o předsedovi výboru a každému bylo dále umožněno navrhnout 3 kandidáty na členy osadního výboru (jako podpůrný materiál, pokud by Zastupitelstvo města jmenovalo jiný počet členů, než všechny přihlášené).</w:t>
      </w:r>
    </w:p>
    <w:p w:rsidR="007154F7" w:rsidRPr="007154F7" w:rsidRDefault="007154F7" w:rsidP="007154F7">
      <w:pPr>
        <w:pStyle w:val="Nzev"/>
        <w:spacing w:before="0" w:line="276" w:lineRule="auto"/>
        <w:ind w:left="0" w:firstLine="0"/>
        <w:jc w:val="both"/>
        <w:rPr>
          <w:rFonts w:ascii="Verdana" w:hAnsi="Verdana"/>
          <w:b w:val="0"/>
          <w:sz w:val="20"/>
        </w:rPr>
      </w:pPr>
      <w:r w:rsidRPr="007154F7">
        <w:rPr>
          <w:rFonts w:ascii="Verdana" w:hAnsi="Verdana"/>
          <w:b w:val="0"/>
          <w:sz w:val="20"/>
        </w:rPr>
        <w:t>Přítomní rozdělili své hlasy v počtu 13 ku 13 mezi paní Janu Buřičovou a pan Jakuba Obraze. 3 hlasy byly uděleny neplatně osobě, která nesouhlasila s funkcí předsedy. Po vyhlášení výsledků voleb se na místo dostavili další dvě občanky s trvalým pobytem ve Vnitřním městě, které požadovali zápis na prezenční listinu a možnost hlasování (jedna z nich projevila zájem i o členství ve výboru), což jim úřad samozřejmě umožnil. Tyto další dva hlasy byly odevzdány pro paní Janu Buřičovou. Proti tomuto postupu byly ze strany některých přítomných občanů vzneseny námitky.</w:t>
      </w:r>
    </w:p>
    <w:p w:rsidR="007154F7" w:rsidRPr="007154F7" w:rsidRDefault="007154F7" w:rsidP="007154F7">
      <w:pPr>
        <w:pStyle w:val="Nzev"/>
        <w:spacing w:before="0" w:line="276" w:lineRule="auto"/>
        <w:ind w:left="0" w:firstLine="0"/>
        <w:jc w:val="both"/>
        <w:rPr>
          <w:rFonts w:ascii="Verdana" w:hAnsi="Verdana"/>
          <w:b w:val="0"/>
          <w:sz w:val="20"/>
        </w:rPr>
      </w:pPr>
      <w:r w:rsidRPr="007154F7">
        <w:rPr>
          <w:rFonts w:ascii="Verdana" w:hAnsi="Verdana"/>
          <w:b w:val="0"/>
          <w:sz w:val="20"/>
        </w:rPr>
        <w:t>Znění usnesení k počtu členů bylo formulováno tak, že navrhuje určit počet členů buď dle počtu osob, který hlas obdržely, nebo dle celkového počtu přihlášených osob. V obou případech se však jedná o sudý počet, tedy je potřeba buď jmenovat o člena více (lze oslovit například některé původně nahlášené osoby z prvního ustavujícího zasedání, zda by neměli dále o členství zájem), případně jednoho z kandidátů nejmenovat.</w:t>
      </w:r>
    </w:p>
    <w:p w:rsidR="007154F7" w:rsidRPr="007154F7" w:rsidRDefault="007154F7" w:rsidP="007154F7">
      <w:pPr>
        <w:pStyle w:val="Nzev"/>
        <w:spacing w:before="0" w:line="276" w:lineRule="auto"/>
        <w:ind w:left="0" w:firstLine="0"/>
        <w:jc w:val="both"/>
        <w:rPr>
          <w:rFonts w:ascii="Verdana" w:hAnsi="Verdana"/>
          <w:b w:val="0"/>
          <w:sz w:val="20"/>
        </w:rPr>
      </w:pPr>
    </w:p>
    <w:p w:rsidR="007154F7" w:rsidRPr="007154F7" w:rsidRDefault="007154F7" w:rsidP="007154F7">
      <w:pPr>
        <w:pStyle w:val="Nzev"/>
        <w:spacing w:before="0" w:line="276" w:lineRule="auto"/>
        <w:ind w:left="0" w:firstLine="0"/>
        <w:jc w:val="both"/>
        <w:rPr>
          <w:rFonts w:ascii="Verdana" w:hAnsi="Verdana"/>
          <w:sz w:val="20"/>
        </w:rPr>
      </w:pPr>
      <w:r w:rsidRPr="007154F7">
        <w:rPr>
          <w:rFonts w:ascii="Verdana" w:hAnsi="Verdana"/>
          <w:sz w:val="20"/>
        </w:rPr>
        <w:t xml:space="preserve">1/07 </w:t>
      </w:r>
      <w:r w:rsidRPr="007154F7">
        <w:rPr>
          <w:rFonts w:ascii="Verdana" w:hAnsi="Verdana" w:cs="Verdana"/>
          <w:bCs/>
          <w:sz w:val="20"/>
        </w:rPr>
        <w:t>Významné osobnosti pohřbené ve správním obvodu města Kutné Hory</w:t>
      </w:r>
    </w:p>
    <w:p w:rsidR="007154F7" w:rsidRPr="007154F7" w:rsidRDefault="007154F7" w:rsidP="007154F7">
      <w:pPr>
        <w:spacing w:after="0"/>
        <w:jc w:val="both"/>
        <w:rPr>
          <w:rFonts w:ascii="Verdana" w:hAnsi="Verdana"/>
          <w:sz w:val="20"/>
          <w:szCs w:val="20"/>
        </w:rPr>
      </w:pPr>
      <w:r w:rsidRPr="007154F7">
        <w:rPr>
          <w:rFonts w:ascii="Verdana" w:hAnsi="Verdana"/>
          <w:sz w:val="20"/>
          <w:szCs w:val="20"/>
        </w:rPr>
        <w:t>V souladu se schváleným statutem a blížícímu se 75. výročí konce II. světové války, předkládám návrh k zaevidování dalších 9 hrobů a hrobových míst do již schváleného seznamu. V těchto hrobech je pohřbeno 12 zastřelených občanů Kutné Hory, z toho deset z malínského předměstí. Na místech, kde k těmto zavrženíhodným činům došlo, byly instalovány pamětní desky a jména zastřelených malínských občanů jsou zaznamenána i na pomníku padlým obětem II. světové války v Malíně u budovy bývalé školy. U těchto pietních míst (ul. Mincovní, ul. Pod Školou, ul. Čáslavská a ul. Jiřího z Poděbrad), evidovaných pod Ministerstvem obrany, je pravidelně uctívána památka obětí.</w:t>
      </w:r>
    </w:p>
    <w:p w:rsidR="007154F7" w:rsidRPr="007154F7" w:rsidRDefault="007154F7" w:rsidP="007154F7">
      <w:pPr>
        <w:spacing w:after="0"/>
        <w:jc w:val="both"/>
        <w:rPr>
          <w:rFonts w:ascii="Verdana" w:hAnsi="Verdana"/>
          <w:sz w:val="20"/>
          <w:szCs w:val="20"/>
        </w:rPr>
      </w:pPr>
      <w:r w:rsidRPr="007154F7">
        <w:rPr>
          <w:rFonts w:ascii="Verdana" w:hAnsi="Verdana"/>
          <w:sz w:val="20"/>
          <w:szCs w:val="20"/>
        </w:rPr>
        <w:t xml:space="preserve">,,Na koci II. světové války došlo na území našeho města ke zcela zbytečným krveprolitím. Zabití kutnohorských občanů bylo neobhajitelným a zbabělým činem prchajících nacistů před rudou armádou. Stalo se tak i přesto, že 7. května 1945 byla podepsána bezpodmínečná kapitulace Německa, avšak krveprolití se odehrálo až následný den 8. května 1945, během její platnosti“.  </w:t>
      </w:r>
    </w:p>
    <w:p w:rsidR="007154F7" w:rsidRPr="007154F7" w:rsidRDefault="007154F7" w:rsidP="007154F7">
      <w:pPr>
        <w:spacing w:after="0"/>
        <w:jc w:val="both"/>
        <w:rPr>
          <w:rFonts w:ascii="Verdana" w:hAnsi="Verdana"/>
          <w:sz w:val="20"/>
          <w:szCs w:val="20"/>
        </w:rPr>
      </w:pPr>
      <w:r w:rsidRPr="007154F7">
        <w:rPr>
          <w:rFonts w:ascii="Verdana" w:hAnsi="Verdana"/>
          <w:sz w:val="20"/>
          <w:szCs w:val="20"/>
        </w:rPr>
        <w:t xml:space="preserve"> Na základě učiněného slibu, který jsem dal malínským občanům, podnětů některých pamětníků a skvělé spolupráce se zástupci obce Suchdol, se mi ve starých hřbitovních knihách podařilo dohledat všechna hrobová místa, kde došlo k pohřbení pozůstatků zastřelených osob. I po tak dlouhé době jsou pouze 2 z těchto hrobů bezprizorní, ale v relativně dobrém stavu (náklady na jejich údržbu budou minimální). V souladu s legislativou by hrobová příslušenství z těchto míst měla být odstraněna a místa nabídnuta k využití jiným zájemcům. Stejná situace může v budoucnu nastat i u hrobů pod nájemní smlouvou, pokud se o ně nebude mít kdo starat, anebo majitelé se rozhodnou pro jejich zrušení.</w:t>
      </w:r>
    </w:p>
    <w:p w:rsidR="007154F7" w:rsidRPr="007154F7" w:rsidRDefault="007154F7" w:rsidP="007154F7">
      <w:pPr>
        <w:spacing w:after="0"/>
        <w:jc w:val="both"/>
        <w:rPr>
          <w:rFonts w:ascii="Verdana" w:hAnsi="Verdana"/>
          <w:sz w:val="20"/>
          <w:szCs w:val="20"/>
        </w:rPr>
      </w:pPr>
      <w:r w:rsidRPr="007154F7">
        <w:rPr>
          <w:rFonts w:ascii="Verdana" w:hAnsi="Verdana"/>
          <w:sz w:val="20"/>
          <w:szCs w:val="20"/>
        </w:rPr>
        <w:t xml:space="preserve">Vzhledem k významu této události a dané situaci máme příležitost vytvořit podmínky pro zachování těchto hrobů i v budoucnu. Jejich přítomností a uctíváním památky můžeme připomínat činy germánské zběsilosti i dalším generacím. Nedopusťme, aby místa </w:t>
      </w:r>
      <w:r w:rsidRPr="007154F7">
        <w:rPr>
          <w:rFonts w:ascii="Verdana" w:hAnsi="Verdana"/>
          <w:sz w:val="20"/>
          <w:szCs w:val="20"/>
        </w:rPr>
        <w:lastRenderedPageBreak/>
        <w:t xml:space="preserve">posledního odpočinku těchto osob byla zrušena a zapomenuta. Je to to nejmenší, co pro ně můžeme udělat.  </w:t>
      </w:r>
    </w:p>
    <w:p w:rsidR="007154F7" w:rsidRDefault="007154F7" w:rsidP="007154F7">
      <w:pPr>
        <w:spacing w:after="0"/>
        <w:jc w:val="both"/>
        <w:rPr>
          <w:rFonts w:ascii="Verdana" w:hAnsi="Verdana"/>
          <w:b/>
          <w:sz w:val="20"/>
          <w:szCs w:val="20"/>
        </w:rPr>
      </w:pPr>
    </w:p>
    <w:p w:rsidR="007154F7" w:rsidRPr="007154F7" w:rsidRDefault="007154F7" w:rsidP="007154F7">
      <w:pPr>
        <w:spacing w:after="0"/>
        <w:jc w:val="both"/>
        <w:rPr>
          <w:rFonts w:ascii="Verdana" w:hAnsi="Verdana"/>
          <w:b/>
          <w:sz w:val="20"/>
          <w:szCs w:val="20"/>
        </w:rPr>
      </w:pPr>
      <w:r w:rsidRPr="007154F7">
        <w:rPr>
          <w:rFonts w:ascii="Verdana" w:hAnsi="Verdana"/>
          <w:b/>
          <w:sz w:val="20"/>
          <w:szCs w:val="20"/>
        </w:rPr>
        <w:t>1/08 Záměr převodu podílu v plaveckém bazénu do majetku města</w:t>
      </w:r>
    </w:p>
    <w:p w:rsidR="007154F7" w:rsidRPr="007154F7" w:rsidRDefault="007154F7" w:rsidP="007154F7">
      <w:pPr>
        <w:pStyle w:val="Nadpis1"/>
        <w:spacing w:before="0"/>
        <w:jc w:val="both"/>
        <w:rPr>
          <w:rFonts w:ascii="Verdana" w:hAnsi="Verdana"/>
          <w:b w:val="0"/>
          <w:color w:val="auto"/>
          <w:sz w:val="20"/>
          <w:szCs w:val="20"/>
        </w:rPr>
      </w:pPr>
      <w:r w:rsidRPr="007154F7">
        <w:rPr>
          <w:rFonts w:ascii="Verdana" w:hAnsi="Verdana"/>
          <w:b w:val="0"/>
          <w:color w:val="auto"/>
          <w:sz w:val="20"/>
          <w:szCs w:val="20"/>
        </w:rPr>
        <w:t xml:space="preserve">TJ Sparta Kutná Hora z. </w:t>
      </w:r>
      <w:proofErr w:type="gramStart"/>
      <w:r w:rsidRPr="007154F7">
        <w:rPr>
          <w:rFonts w:ascii="Verdana" w:hAnsi="Verdana"/>
          <w:b w:val="0"/>
          <w:color w:val="auto"/>
          <w:sz w:val="20"/>
          <w:szCs w:val="20"/>
        </w:rPr>
        <w:t>s.</w:t>
      </w:r>
      <w:proofErr w:type="gramEnd"/>
      <w:r w:rsidRPr="007154F7">
        <w:rPr>
          <w:rFonts w:ascii="Verdana" w:hAnsi="Verdana"/>
          <w:b w:val="0"/>
          <w:color w:val="auto"/>
          <w:sz w:val="20"/>
          <w:szCs w:val="20"/>
        </w:rPr>
        <w:t xml:space="preserve"> požádal Zastupitelstvo města Kutná Hora o projednání poskytnutí dotace 2 000 000 Kč v souladu s žádostí o dotaci ze dne 25. 9. 2019. Následně proběhlo jednání zástupců spolku s vedením města a spolek zaslal dne 5. 3. 2020 písemnou žádost o dotaci, ve které zároveň nabídl k jednání převod podílu plaveckého bazénu do </w:t>
      </w:r>
      <w:proofErr w:type="gramStart"/>
      <w:r w:rsidRPr="007154F7">
        <w:rPr>
          <w:rFonts w:ascii="Verdana" w:hAnsi="Verdana"/>
          <w:b w:val="0"/>
          <w:color w:val="auto"/>
          <w:sz w:val="20"/>
          <w:szCs w:val="20"/>
        </w:rPr>
        <w:t>100%</w:t>
      </w:r>
      <w:proofErr w:type="gramEnd"/>
      <w:r w:rsidRPr="007154F7">
        <w:rPr>
          <w:rFonts w:ascii="Verdana" w:hAnsi="Verdana"/>
          <w:b w:val="0"/>
          <w:color w:val="auto"/>
          <w:sz w:val="20"/>
          <w:szCs w:val="20"/>
        </w:rPr>
        <w:t xml:space="preserve"> města.</w:t>
      </w:r>
    </w:p>
    <w:p w:rsidR="007154F7" w:rsidRPr="007154F7" w:rsidRDefault="007154F7" w:rsidP="007154F7">
      <w:pPr>
        <w:spacing w:after="0"/>
        <w:jc w:val="both"/>
        <w:rPr>
          <w:rFonts w:ascii="Verdana" w:hAnsi="Verdana"/>
          <w:sz w:val="20"/>
          <w:szCs w:val="20"/>
        </w:rPr>
      </w:pPr>
      <w:r w:rsidRPr="007154F7">
        <w:rPr>
          <w:rFonts w:ascii="Verdana" w:hAnsi="Verdana"/>
          <w:sz w:val="20"/>
          <w:szCs w:val="20"/>
        </w:rPr>
        <w:t xml:space="preserve">Sparta nabízí městu převod plaveckého bazénu do </w:t>
      </w:r>
      <w:proofErr w:type="gramStart"/>
      <w:r w:rsidRPr="007154F7">
        <w:rPr>
          <w:rFonts w:ascii="Verdana" w:hAnsi="Verdana"/>
          <w:sz w:val="20"/>
          <w:szCs w:val="20"/>
        </w:rPr>
        <w:t>100%</w:t>
      </w:r>
      <w:proofErr w:type="gramEnd"/>
      <w:r w:rsidRPr="007154F7">
        <w:rPr>
          <w:rFonts w:ascii="Verdana" w:hAnsi="Verdana"/>
          <w:sz w:val="20"/>
          <w:szCs w:val="20"/>
        </w:rPr>
        <w:t xml:space="preserve"> vlastnictví za těchto podmínek:</w:t>
      </w:r>
    </w:p>
    <w:p w:rsidR="007154F7" w:rsidRPr="007154F7" w:rsidRDefault="007154F7" w:rsidP="007154F7">
      <w:pPr>
        <w:pStyle w:val="Normlnweb"/>
        <w:spacing w:before="0" w:beforeAutospacing="0" w:after="0" w:afterAutospacing="0" w:line="276" w:lineRule="auto"/>
        <w:jc w:val="both"/>
        <w:rPr>
          <w:rFonts w:ascii="Verdana" w:hAnsi="Verdana"/>
          <w:sz w:val="20"/>
          <w:szCs w:val="20"/>
        </w:rPr>
      </w:pPr>
      <w:r w:rsidRPr="007154F7">
        <w:rPr>
          <w:rFonts w:ascii="Verdana" w:hAnsi="Verdana"/>
          <w:sz w:val="20"/>
          <w:szCs w:val="20"/>
        </w:rPr>
        <w:t>1) 2 miliony dotace na výměnu oken</w:t>
      </w:r>
    </w:p>
    <w:p w:rsidR="007154F7" w:rsidRPr="007154F7" w:rsidRDefault="007154F7" w:rsidP="007154F7">
      <w:pPr>
        <w:pStyle w:val="Normlnweb"/>
        <w:spacing w:before="0" w:beforeAutospacing="0" w:after="0" w:afterAutospacing="0" w:line="276" w:lineRule="auto"/>
        <w:jc w:val="both"/>
        <w:rPr>
          <w:rFonts w:ascii="Verdana" w:hAnsi="Verdana"/>
          <w:sz w:val="20"/>
          <w:szCs w:val="20"/>
        </w:rPr>
      </w:pPr>
      <w:r w:rsidRPr="007154F7">
        <w:rPr>
          <w:rFonts w:ascii="Verdana" w:hAnsi="Verdana"/>
          <w:sz w:val="20"/>
          <w:szCs w:val="20"/>
        </w:rPr>
        <w:t>2) Provozování bazénu cca na dobu deseti let ve stejném režimu jako plovárna</w:t>
      </w:r>
    </w:p>
    <w:p w:rsidR="007154F7" w:rsidRPr="007154F7" w:rsidRDefault="007154F7" w:rsidP="007154F7">
      <w:pPr>
        <w:pStyle w:val="Normlnweb"/>
        <w:spacing w:before="0" w:beforeAutospacing="0" w:after="0" w:afterAutospacing="0" w:line="276" w:lineRule="auto"/>
        <w:jc w:val="both"/>
        <w:rPr>
          <w:rFonts w:ascii="Verdana" w:hAnsi="Verdana"/>
          <w:sz w:val="20"/>
          <w:szCs w:val="20"/>
        </w:rPr>
      </w:pPr>
      <w:r w:rsidRPr="007154F7">
        <w:rPr>
          <w:rFonts w:ascii="Verdana" w:hAnsi="Verdana"/>
          <w:sz w:val="20"/>
          <w:szCs w:val="20"/>
        </w:rPr>
        <w:t>3) Poskytnutí místnosti na bazénu pro sídlo jednoty</w:t>
      </w:r>
    </w:p>
    <w:p w:rsidR="007154F7" w:rsidRPr="007154F7" w:rsidRDefault="007154F7" w:rsidP="007154F7">
      <w:pPr>
        <w:pStyle w:val="Normlnweb"/>
        <w:spacing w:before="0" w:beforeAutospacing="0" w:after="0" w:afterAutospacing="0" w:line="276" w:lineRule="auto"/>
        <w:jc w:val="both"/>
        <w:rPr>
          <w:rFonts w:ascii="Verdana" w:hAnsi="Verdana"/>
          <w:sz w:val="20"/>
          <w:szCs w:val="20"/>
        </w:rPr>
      </w:pPr>
      <w:r w:rsidRPr="007154F7">
        <w:rPr>
          <w:rFonts w:ascii="Verdana" w:hAnsi="Verdana"/>
          <w:sz w:val="20"/>
          <w:szCs w:val="20"/>
        </w:rPr>
        <w:t>4) Následná investice ve výši cca 1 milion ve výhledu příštího roku</w:t>
      </w:r>
    </w:p>
    <w:p w:rsidR="007154F7" w:rsidRPr="007154F7" w:rsidRDefault="007154F7" w:rsidP="007154F7">
      <w:pPr>
        <w:pStyle w:val="Normlnweb"/>
        <w:spacing w:before="0" w:beforeAutospacing="0" w:after="0" w:afterAutospacing="0" w:line="276" w:lineRule="auto"/>
        <w:jc w:val="both"/>
        <w:rPr>
          <w:rFonts w:ascii="Verdana" w:hAnsi="Verdana"/>
          <w:sz w:val="20"/>
          <w:szCs w:val="20"/>
        </w:rPr>
      </w:pPr>
      <w:r w:rsidRPr="007154F7">
        <w:rPr>
          <w:rFonts w:ascii="Verdana" w:hAnsi="Verdana"/>
          <w:sz w:val="20"/>
          <w:szCs w:val="20"/>
        </w:rPr>
        <w:t>Vzhledem k tomu, že je zájmem města převést plavecký bazén do výlučného vlastnictví, avšak je potřebné projednat návrhy podmínek právníky a všemi poradními orgány rady i zastupitelstva, navrhuje předkladatel schválení záměru převést podíl do majetku města. Podkladové materiály budou následně zaslány k vyjádření komisím a výborům.</w:t>
      </w:r>
    </w:p>
    <w:p w:rsidR="007154F7" w:rsidRPr="007154F7" w:rsidRDefault="007154F7" w:rsidP="007154F7">
      <w:pPr>
        <w:spacing w:after="0"/>
        <w:jc w:val="both"/>
        <w:rPr>
          <w:rFonts w:ascii="Verdana" w:hAnsi="Verdana"/>
          <w:b/>
          <w:sz w:val="20"/>
          <w:szCs w:val="20"/>
        </w:rPr>
      </w:pPr>
    </w:p>
    <w:p w:rsidR="007154F7" w:rsidRPr="007154F7" w:rsidRDefault="007154F7" w:rsidP="007154F7">
      <w:pPr>
        <w:spacing w:after="0"/>
        <w:jc w:val="both"/>
        <w:rPr>
          <w:rFonts w:ascii="Verdana" w:hAnsi="Verdana"/>
          <w:b/>
          <w:sz w:val="20"/>
          <w:szCs w:val="20"/>
        </w:rPr>
      </w:pPr>
      <w:r w:rsidRPr="007154F7">
        <w:rPr>
          <w:rFonts w:ascii="Verdana" w:hAnsi="Verdana"/>
          <w:b/>
          <w:sz w:val="20"/>
          <w:szCs w:val="20"/>
        </w:rPr>
        <w:t>1/09 Změna jednacího řádu Zastupitelstva města</w:t>
      </w:r>
    </w:p>
    <w:p w:rsidR="007154F7" w:rsidRPr="007154F7" w:rsidRDefault="007154F7" w:rsidP="007154F7">
      <w:pPr>
        <w:spacing w:after="0"/>
        <w:jc w:val="both"/>
        <w:rPr>
          <w:rFonts w:ascii="Verdana" w:hAnsi="Verdana"/>
          <w:sz w:val="20"/>
          <w:szCs w:val="20"/>
        </w:rPr>
      </w:pPr>
      <w:r w:rsidRPr="007154F7">
        <w:rPr>
          <w:rFonts w:ascii="Verdana" w:hAnsi="Verdana"/>
          <w:sz w:val="20"/>
          <w:szCs w:val="20"/>
        </w:rPr>
        <w:t>Navrhované úpravy jsou z důvodu, že odpovědné osoby v případě předání ústních dotazů či připomínek nejsou schopny reagovat v termínu 15 dní od jednání zastupitelstva města, neboť dotaz jim je předáván až po vyhotovení zápisu ze zastupitelstva, pro který je stanovena lhůta k vyhotovení 10 dnů. V tak krátkém časovém termínu pak nelze často zajistit dostatečné podkladové informace k vyhotovení odpovědi.</w:t>
      </w:r>
    </w:p>
    <w:p w:rsidR="007154F7" w:rsidRPr="007154F7" w:rsidRDefault="007154F7" w:rsidP="007154F7">
      <w:pPr>
        <w:spacing w:after="0"/>
        <w:jc w:val="both"/>
        <w:rPr>
          <w:rFonts w:ascii="Verdana" w:hAnsi="Verdana"/>
          <w:sz w:val="20"/>
          <w:szCs w:val="20"/>
        </w:rPr>
      </w:pPr>
      <w:r w:rsidRPr="007154F7">
        <w:rPr>
          <w:rFonts w:ascii="Verdana" w:hAnsi="Verdana"/>
          <w:sz w:val="20"/>
          <w:szCs w:val="20"/>
        </w:rPr>
        <w:t>Je tedy navrhována změna, aby počátek lhůty 15 dní počal běžet ode dne vyhotovení zápisu z jednání zastupitelstva.</w:t>
      </w:r>
    </w:p>
    <w:p w:rsidR="007154F7" w:rsidRDefault="007154F7" w:rsidP="007154F7">
      <w:pPr>
        <w:spacing w:after="0"/>
        <w:jc w:val="both"/>
        <w:rPr>
          <w:rFonts w:ascii="Verdana" w:hAnsi="Verdana"/>
          <w:b/>
          <w:sz w:val="20"/>
          <w:szCs w:val="20"/>
        </w:rPr>
      </w:pPr>
    </w:p>
    <w:p w:rsidR="007154F7" w:rsidRPr="007154F7" w:rsidRDefault="007154F7" w:rsidP="007154F7">
      <w:pPr>
        <w:spacing w:after="0"/>
        <w:jc w:val="both"/>
        <w:rPr>
          <w:rFonts w:ascii="Verdana" w:hAnsi="Verdana"/>
          <w:b/>
          <w:sz w:val="20"/>
          <w:szCs w:val="20"/>
        </w:rPr>
      </w:pPr>
      <w:r w:rsidRPr="007154F7">
        <w:rPr>
          <w:rFonts w:ascii="Verdana" w:hAnsi="Verdana"/>
          <w:b/>
          <w:sz w:val="20"/>
          <w:szCs w:val="20"/>
        </w:rPr>
        <w:t>1/10</w:t>
      </w:r>
      <w:r w:rsidRPr="007154F7">
        <w:rPr>
          <w:rFonts w:ascii="Verdana" w:hAnsi="Verdana"/>
          <w:sz w:val="20"/>
          <w:szCs w:val="20"/>
        </w:rPr>
        <w:t xml:space="preserve"> </w:t>
      </w:r>
      <w:r w:rsidRPr="007154F7">
        <w:rPr>
          <w:rFonts w:ascii="Verdana" w:hAnsi="Verdana"/>
          <w:b/>
          <w:sz w:val="20"/>
          <w:szCs w:val="20"/>
        </w:rPr>
        <w:t>K navrácení rozhodování záležitostí radě města</w:t>
      </w:r>
    </w:p>
    <w:p w:rsidR="007154F7" w:rsidRPr="007154F7" w:rsidRDefault="007154F7" w:rsidP="007154F7">
      <w:pPr>
        <w:spacing w:after="0"/>
        <w:jc w:val="both"/>
        <w:rPr>
          <w:rFonts w:ascii="Verdana" w:hAnsi="Verdana"/>
          <w:sz w:val="20"/>
          <w:szCs w:val="20"/>
        </w:rPr>
      </w:pPr>
      <w:r w:rsidRPr="007154F7">
        <w:rPr>
          <w:rFonts w:ascii="Verdana" w:hAnsi="Verdana"/>
          <w:sz w:val="20"/>
          <w:szCs w:val="20"/>
        </w:rPr>
        <w:t xml:space="preserve">V minulosti si zastupitelstvo města v souladu se zákonem o obcích vyhradilo některé věci patřící do samostatné působnosti, když postupovalo dle § 84 odst. 4, tedy že si vyhradilo některé další působnosti obce mimo pravomoci vyhrazené radě obce dle § 102 odst. 2. </w:t>
      </w:r>
    </w:p>
    <w:p w:rsidR="007154F7" w:rsidRPr="007154F7" w:rsidRDefault="007154F7" w:rsidP="007154F7">
      <w:pPr>
        <w:spacing w:after="0"/>
        <w:jc w:val="both"/>
        <w:rPr>
          <w:rFonts w:ascii="Verdana" w:hAnsi="Verdana"/>
          <w:sz w:val="20"/>
          <w:szCs w:val="20"/>
        </w:rPr>
      </w:pPr>
      <w:r w:rsidRPr="007154F7">
        <w:rPr>
          <w:rFonts w:ascii="Verdana" w:hAnsi="Verdana"/>
          <w:sz w:val="20"/>
          <w:szCs w:val="20"/>
        </w:rPr>
        <w:t>Na základě usnesení vlády č. 247 ze dne 23. 3. 2020 publikovaným pod č. 122/2020 Sb. bylo</w:t>
      </w:r>
    </w:p>
    <w:p w:rsidR="007154F7" w:rsidRPr="007154F7" w:rsidRDefault="007154F7" w:rsidP="007154F7">
      <w:pPr>
        <w:spacing w:after="0"/>
        <w:jc w:val="both"/>
        <w:rPr>
          <w:rFonts w:ascii="Verdana" w:hAnsi="Verdana"/>
          <w:sz w:val="20"/>
          <w:szCs w:val="20"/>
        </w:rPr>
      </w:pPr>
      <w:r w:rsidRPr="007154F7">
        <w:rPr>
          <w:rFonts w:ascii="Verdana" w:hAnsi="Verdana"/>
          <w:b/>
          <w:sz w:val="20"/>
          <w:szCs w:val="20"/>
        </w:rPr>
        <w:t>I. uloženo</w:t>
      </w:r>
      <w:r w:rsidRPr="007154F7">
        <w:rPr>
          <w:rFonts w:ascii="Verdana" w:hAnsi="Verdana"/>
          <w:sz w:val="20"/>
          <w:szCs w:val="20"/>
        </w:rPr>
        <w:t xml:space="preserve"> územním samosprávným celkům z důvodu omezení svobody pohybu na území České republiky konat zasedání zastupitelstev, pouze pokud je to nezbytné k přijetí opatření souvisejících s řešením nouzového stavu nebo ke schválení právních jednání nezbytných k dodržení termínů nebo zabránění bezprostředně hrozícím škodám (např. nezbytná rozpočtová opatření, změny pravidel rozpočtového provizoria, zajištění pomoci obyvatelstvu, nezbytná volba orgánů územních samosprávných celků), a to prostředky komunikace na dálku umožňujícími účast členů zastupitelstva na zasedání zastupitelstva v reálném čase bez jejich osobní přítomnosti; účast veřejnosti spočívající v její osobní přítomnosti je tímto vyloučena;</w:t>
      </w:r>
    </w:p>
    <w:p w:rsidR="007154F7" w:rsidRPr="007154F7" w:rsidRDefault="007154F7" w:rsidP="007154F7">
      <w:pPr>
        <w:spacing w:after="0"/>
        <w:jc w:val="both"/>
        <w:rPr>
          <w:rFonts w:ascii="Verdana" w:hAnsi="Verdana"/>
          <w:sz w:val="20"/>
          <w:szCs w:val="20"/>
        </w:rPr>
      </w:pPr>
      <w:r w:rsidRPr="007154F7">
        <w:rPr>
          <w:rFonts w:ascii="Verdana" w:hAnsi="Verdana"/>
          <w:sz w:val="20"/>
          <w:szCs w:val="20"/>
        </w:rPr>
        <w:t>a</w:t>
      </w:r>
    </w:p>
    <w:p w:rsidR="007154F7" w:rsidRPr="007154F7" w:rsidRDefault="007154F7" w:rsidP="007154F7">
      <w:pPr>
        <w:spacing w:after="0"/>
        <w:jc w:val="both"/>
        <w:rPr>
          <w:rFonts w:ascii="Verdana" w:hAnsi="Verdana"/>
          <w:sz w:val="20"/>
          <w:szCs w:val="20"/>
        </w:rPr>
      </w:pPr>
      <w:r w:rsidRPr="007154F7">
        <w:rPr>
          <w:rFonts w:ascii="Verdana" w:hAnsi="Verdana"/>
          <w:b/>
          <w:sz w:val="20"/>
          <w:szCs w:val="20"/>
        </w:rPr>
        <w:t>II. doporučeno</w:t>
      </w:r>
      <w:r w:rsidRPr="007154F7">
        <w:rPr>
          <w:rFonts w:ascii="Verdana" w:hAnsi="Verdana"/>
          <w:sz w:val="20"/>
          <w:szCs w:val="20"/>
        </w:rPr>
        <w:t xml:space="preserve"> územním samosprávným celkům, průběh zasedání zastupitelstev konaných podle bodu I nejvyšší možnou měrou zpřístupnily veřejnosti pomocí prostředků komunikace na dálku, a to přinejmenším pořízením a zveřejněním zvukového záznamu.</w:t>
      </w:r>
    </w:p>
    <w:p w:rsidR="007154F7" w:rsidRPr="007154F7" w:rsidRDefault="007154F7" w:rsidP="007154F7">
      <w:pPr>
        <w:spacing w:after="0"/>
        <w:jc w:val="both"/>
        <w:rPr>
          <w:rFonts w:ascii="Verdana" w:hAnsi="Verdana"/>
          <w:sz w:val="20"/>
          <w:szCs w:val="20"/>
        </w:rPr>
      </w:pPr>
      <w:r w:rsidRPr="007154F7">
        <w:rPr>
          <w:rFonts w:ascii="Verdana" w:hAnsi="Verdana"/>
          <w:sz w:val="20"/>
          <w:szCs w:val="20"/>
        </w:rPr>
        <w:t xml:space="preserve">Z toho důvodu byla na delší dobu omezena možnost konání zastupitelstva. S ohledem na uvedené se předkladatel domnívá, že pro případné zhoršení situace či podobné případy v budoucnu by bylo vhodné se vrátit k původním pravomocím tak, jak jsou určeny v zákoně </w:t>
      </w:r>
      <w:r w:rsidRPr="007154F7">
        <w:rPr>
          <w:rFonts w:ascii="Verdana" w:hAnsi="Verdana"/>
          <w:sz w:val="20"/>
          <w:szCs w:val="20"/>
        </w:rPr>
        <w:lastRenderedPageBreak/>
        <w:t>o obcích, tedy rada si nepřivlastňuje jakékoliv další pravomoci než ty, které má původně ze zákona svěřeny a o kterých běžně rozhoduje. Je zřejmé, že v případě, že nastane další obdobná krizová situace, je vhodnější se k této obecné právní úpravě vrátit, aby nebyl narušen běžný chod úřadu a aby nouzový stav pocítili občané města co nejméně. Aby však toto omezení bylo pouze dočasné, předkladatel navrhuje, aby i toto usnesení mělo dobu určitou, a to po dobu trvání případného omezení.</w:t>
      </w:r>
    </w:p>
    <w:p w:rsidR="007154F7" w:rsidRPr="007154F7" w:rsidRDefault="007154F7" w:rsidP="007154F7">
      <w:pPr>
        <w:spacing w:after="0"/>
        <w:jc w:val="both"/>
        <w:rPr>
          <w:rFonts w:ascii="Verdana" w:hAnsi="Verdana"/>
          <w:sz w:val="20"/>
          <w:szCs w:val="20"/>
        </w:rPr>
      </w:pPr>
      <w:r w:rsidRPr="007154F7">
        <w:rPr>
          <w:rFonts w:ascii="Verdana" w:hAnsi="Verdana"/>
          <w:sz w:val="20"/>
          <w:szCs w:val="20"/>
        </w:rPr>
        <w:t>Jedná se zejména o rozhodování o rozpočtových opatřeních, kdy si zastupitelstvo vyhradilo rozhodování nad určitou částku, přičemž o těchto rozpočtových opatření je potřebné včas rozhodovat z důvodu zajištění chodu úřadu a předcházení případným škodám.</w:t>
      </w:r>
    </w:p>
    <w:p w:rsidR="007154F7" w:rsidRPr="007154F7" w:rsidRDefault="007154F7" w:rsidP="007154F7">
      <w:pPr>
        <w:spacing w:after="0"/>
        <w:jc w:val="both"/>
        <w:rPr>
          <w:rFonts w:ascii="Verdana" w:hAnsi="Verdana"/>
          <w:b/>
          <w:sz w:val="20"/>
          <w:szCs w:val="20"/>
        </w:rPr>
      </w:pPr>
    </w:p>
    <w:p w:rsidR="00D96E4A" w:rsidRPr="007154F7" w:rsidRDefault="00D96E4A" w:rsidP="007154F7">
      <w:pPr>
        <w:spacing w:after="0"/>
        <w:jc w:val="both"/>
        <w:rPr>
          <w:rFonts w:ascii="Verdana" w:hAnsi="Verdana" w:cs="Times New Roman"/>
          <w:b/>
          <w:sz w:val="20"/>
          <w:szCs w:val="20"/>
          <w:u w:val="single"/>
        </w:rPr>
      </w:pPr>
      <w:r w:rsidRPr="007154F7">
        <w:rPr>
          <w:rFonts w:ascii="Verdana" w:hAnsi="Verdana" w:cs="Times New Roman"/>
          <w:b/>
          <w:sz w:val="20"/>
          <w:szCs w:val="20"/>
          <w:u w:val="single"/>
        </w:rPr>
        <w:t>Ekonomický odbor</w:t>
      </w:r>
    </w:p>
    <w:p w:rsidR="004B6D91" w:rsidRPr="007154F7" w:rsidRDefault="004B6D91" w:rsidP="007154F7">
      <w:pPr>
        <w:spacing w:after="0"/>
        <w:jc w:val="both"/>
        <w:rPr>
          <w:rFonts w:ascii="Verdana" w:hAnsi="Verdana"/>
          <w:b/>
          <w:sz w:val="20"/>
          <w:szCs w:val="20"/>
        </w:rPr>
      </w:pPr>
      <w:r w:rsidRPr="007154F7">
        <w:rPr>
          <w:rFonts w:ascii="Verdana" w:hAnsi="Verdana"/>
          <w:b/>
          <w:sz w:val="20"/>
          <w:szCs w:val="20"/>
        </w:rPr>
        <w:t>2/01 Konečná úprava rozpočtu 2019</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Předkládáme konečnou úpravou rozpočtu 2019, tak aby nedošlo při uzavření rozpočtu k porušení rozpočtové kázně. Jedná se též o úpravy finančních vztahů vůči jiným subjektům, SR, obcím, krajům a regionálním radám v důsledku vypořádání či vyúčtování dotací rozhodnutých, nebo doručených po termínech zasedání orgánů Města.</w:t>
      </w:r>
    </w:p>
    <w:p w:rsidR="004B6D91" w:rsidRPr="007154F7" w:rsidRDefault="004B6D91" w:rsidP="007154F7">
      <w:pPr>
        <w:spacing w:after="0"/>
        <w:jc w:val="both"/>
        <w:rPr>
          <w:rFonts w:ascii="Verdana" w:hAnsi="Verdana"/>
          <w:sz w:val="20"/>
          <w:szCs w:val="20"/>
        </w:rPr>
      </w:pPr>
    </w:p>
    <w:p w:rsidR="004B6D91" w:rsidRPr="007154F7" w:rsidRDefault="004B6D91" w:rsidP="007154F7">
      <w:pPr>
        <w:spacing w:after="0"/>
        <w:jc w:val="both"/>
        <w:rPr>
          <w:rFonts w:ascii="Verdana" w:hAnsi="Verdana"/>
          <w:sz w:val="20"/>
          <w:szCs w:val="20"/>
        </w:rPr>
      </w:pPr>
    </w:p>
    <w:tbl>
      <w:tblPr>
        <w:tblW w:w="9654" w:type="dxa"/>
        <w:tblInd w:w="55" w:type="dxa"/>
        <w:tblCellMar>
          <w:left w:w="70" w:type="dxa"/>
          <w:right w:w="70" w:type="dxa"/>
        </w:tblCellMar>
        <w:tblLook w:val="04A0" w:firstRow="1" w:lastRow="0" w:firstColumn="1" w:lastColumn="0" w:noHBand="0" w:noVBand="1"/>
      </w:tblPr>
      <w:tblGrid>
        <w:gridCol w:w="2992"/>
        <w:gridCol w:w="1418"/>
        <w:gridCol w:w="1842"/>
        <w:gridCol w:w="1701"/>
        <w:gridCol w:w="1701"/>
      </w:tblGrid>
      <w:tr w:rsidR="007154F7" w:rsidRPr="007154F7" w:rsidTr="007154F7">
        <w:trPr>
          <w:trHeight w:val="288"/>
        </w:trPr>
        <w:tc>
          <w:tcPr>
            <w:tcW w:w="299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b/>
                <w:bCs/>
                <w:sz w:val="20"/>
                <w:szCs w:val="20"/>
              </w:rPr>
            </w:pPr>
            <w:bookmarkStart w:id="0" w:name="RANGE!K1:O63"/>
            <w:r w:rsidRPr="007154F7">
              <w:rPr>
                <w:rFonts w:ascii="Verdana" w:hAnsi="Verdana"/>
                <w:b/>
                <w:bCs/>
                <w:sz w:val="20"/>
                <w:szCs w:val="20"/>
              </w:rPr>
              <w:t>Popis</w:t>
            </w:r>
            <w:bookmarkEnd w:id="0"/>
          </w:p>
        </w:tc>
        <w:tc>
          <w:tcPr>
            <w:tcW w:w="1418" w:type="dxa"/>
            <w:tcBorders>
              <w:top w:val="single" w:sz="4" w:space="0" w:color="auto"/>
              <w:left w:val="nil"/>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Schválený rozpočet</w:t>
            </w:r>
          </w:p>
        </w:tc>
        <w:tc>
          <w:tcPr>
            <w:tcW w:w="1842" w:type="dxa"/>
            <w:tcBorders>
              <w:top w:val="single" w:sz="4" w:space="0" w:color="auto"/>
              <w:left w:val="nil"/>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Rozpočet po změnách</w:t>
            </w:r>
          </w:p>
        </w:tc>
        <w:tc>
          <w:tcPr>
            <w:tcW w:w="1701" w:type="dxa"/>
            <w:tcBorders>
              <w:top w:val="single" w:sz="4" w:space="0" w:color="auto"/>
              <w:left w:val="nil"/>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Změna rozpočtu</w:t>
            </w:r>
          </w:p>
        </w:tc>
        <w:tc>
          <w:tcPr>
            <w:tcW w:w="1701" w:type="dxa"/>
            <w:tcBorders>
              <w:top w:val="single" w:sz="4" w:space="0" w:color="auto"/>
              <w:left w:val="nil"/>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Rozpočet po změnách</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DP FO závislá činnost          </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57 938 000,00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68 938 000,00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3 116 424,15</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72 054 424,15</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DP FO závislá činnost. 1,5%    </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5 921 000,00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5 921 000,00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1 200 143,27</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7 121 143,27</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DP FO samostatně výdělečná </w:t>
            </w:r>
            <w:proofErr w:type="spellStart"/>
            <w:r w:rsidRPr="007154F7">
              <w:rPr>
                <w:rFonts w:ascii="Verdana" w:hAnsi="Verdana"/>
                <w:sz w:val="20"/>
                <w:szCs w:val="20"/>
              </w:rPr>
              <w:t>činn</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900 000,00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1 600 000,00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422 612,31</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2 022 612,31</w:t>
            </w:r>
          </w:p>
        </w:tc>
      </w:tr>
      <w:tr w:rsidR="007154F7" w:rsidRPr="007154F7" w:rsidTr="007154F7">
        <w:trPr>
          <w:trHeight w:val="288"/>
        </w:trPr>
        <w:tc>
          <w:tcPr>
            <w:tcW w:w="2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DP FO z kapitálových výnosů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5 000 000,00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6 500 000,00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321 976,05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6 821 976,05</w:t>
            </w:r>
          </w:p>
        </w:tc>
      </w:tr>
      <w:tr w:rsidR="007154F7" w:rsidRPr="007154F7" w:rsidTr="007154F7">
        <w:trPr>
          <w:trHeight w:val="288"/>
        </w:trPr>
        <w:tc>
          <w:tcPr>
            <w:tcW w:w="2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DP PO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57 000 000,00</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57 350 000,00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6 191 118,03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63 541 118,03</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DPH                            </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139 907 600,00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140 257 600,00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2 782 551,29</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143 040 151,29</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Dílčí daň z </w:t>
            </w:r>
            <w:proofErr w:type="spellStart"/>
            <w:proofErr w:type="gramStart"/>
            <w:r w:rsidRPr="007154F7">
              <w:rPr>
                <w:rFonts w:ascii="Verdana" w:hAnsi="Verdana"/>
                <w:sz w:val="20"/>
                <w:szCs w:val="20"/>
              </w:rPr>
              <w:t>tech.her</w:t>
            </w:r>
            <w:proofErr w:type="spellEnd"/>
            <w:proofErr w:type="gramEnd"/>
            <w:r w:rsidRPr="007154F7">
              <w:rPr>
                <w:rFonts w:ascii="Verdana" w:hAnsi="Verdana"/>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14 323 569,97</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2 583 238,60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16 906 808,57</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proofErr w:type="spellStart"/>
            <w:r w:rsidRPr="007154F7">
              <w:rPr>
                <w:rFonts w:ascii="Verdana" w:hAnsi="Verdana"/>
                <w:sz w:val="20"/>
                <w:szCs w:val="20"/>
              </w:rPr>
              <w:t>DzN</w:t>
            </w:r>
            <w:proofErr w:type="spellEnd"/>
            <w:r w:rsidRPr="007154F7">
              <w:rPr>
                <w:rFonts w:ascii="Verdana" w:hAnsi="Verdana"/>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25 000 000,00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25 100 000,00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2 475 123,16</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27 575 123,16</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Daňové příjmy celkem:</w:t>
            </w:r>
          </w:p>
        </w:tc>
        <w:tc>
          <w:tcPr>
            <w:tcW w:w="1418" w:type="dxa"/>
            <w:tcBorders>
              <w:top w:val="nil"/>
              <w:left w:val="nil"/>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w:t>
            </w:r>
          </w:p>
        </w:tc>
        <w:tc>
          <w:tcPr>
            <w:tcW w:w="1842" w:type="dxa"/>
            <w:tcBorders>
              <w:top w:val="nil"/>
              <w:left w:val="nil"/>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w:t>
            </w:r>
          </w:p>
        </w:tc>
        <w:tc>
          <w:tcPr>
            <w:tcW w:w="1701" w:type="dxa"/>
            <w:tcBorders>
              <w:top w:val="nil"/>
              <w:left w:val="nil"/>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19 093 186,86</w:t>
            </w:r>
          </w:p>
        </w:tc>
        <w:tc>
          <w:tcPr>
            <w:tcW w:w="1701" w:type="dxa"/>
            <w:tcBorders>
              <w:top w:val="nil"/>
              <w:left w:val="nil"/>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proofErr w:type="spellStart"/>
            <w:r w:rsidRPr="007154F7">
              <w:rPr>
                <w:rFonts w:ascii="Verdana" w:hAnsi="Verdana"/>
                <w:sz w:val="20"/>
                <w:szCs w:val="20"/>
              </w:rPr>
              <w:t>MLaR</w:t>
            </w:r>
            <w:proofErr w:type="spellEnd"/>
            <w:r w:rsidRPr="007154F7">
              <w:rPr>
                <w:rFonts w:ascii="Verdana" w:hAnsi="Verdana"/>
                <w:sz w:val="20"/>
                <w:szCs w:val="20"/>
              </w:rPr>
              <w:t xml:space="preserve"> - nájem                   </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4 800 000,00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4 800 000,00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960 399,81</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5 760 399,81</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TEBIS s.r.o. - nájem           </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5 400 000,00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5 400 000,00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1 134 000,00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6 534 000,00</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Proces </w:t>
            </w:r>
            <w:proofErr w:type="spellStart"/>
            <w:proofErr w:type="gramStart"/>
            <w:r w:rsidRPr="007154F7">
              <w:rPr>
                <w:rFonts w:ascii="Verdana" w:hAnsi="Verdana"/>
                <w:sz w:val="20"/>
                <w:szCs w:val="20"/>
              </w:rPr>
              <w:t>soc.plánování</w:t>
            </w:r>
            <w:proofErr w:type="spellEnd"/>
            <w:proofErr w:type="gramEnd"/>
            <w:r w:rsidRPr="007154F7">
              <w:rPr>
                <w:rFonts w:ascii="Verdana" w:hAnsi="Verdana"/>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2 722,50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2 722,50</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Proces </w:t>
            </w:r>
            <w:proofErr w:type="spellStart"/>
            <w:proofErr w:type="gramStart"/>
            <w:r w:rsidRPr="007154F7">
              <w:rPr>
                <w:rFonts w:ascii="Verdana" w:hAnsi="Verdana"/>
                <w:sz w:val="20"/>
                <w:szCs w:val="20"/>
              </w:rPr>
              <w:t>soc.plánování</w:t>
            </w:r>
            <w:proofErr w:type="spellEnd"/>
            <w:proofErr w:type="gramEnd"/>
            <w:r w:rsidRPr="007154F7">
              <w:rPr>
                <w:rFonts w:ascii="Verdana" w:hAnsi="Verdana"/>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23 141,25</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23 141,25</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Nedaňové příjmy celkem</w:t>
            </w:r>
          </w:p>
        </w:tc>
        <w:tc>
          <w:tcPr>
            <w:tcW w:w="1418" w:type="dxa"/>
            <w:tcBorders>
              <w:top w:val="nil"/>
              <w:left w:val="nil"/>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w:t>
            </w:r>
          </w:p>
        </w:tc>
        <w:tc>
          <w:tcPr>
            <w:tcW w:w="1842" w:type="dxa"/>
            <w:tcBorders>
              <w:top w:val="nil"/>
              <w:left w:val="nil"/>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w:t>
            </w:r>
          </w:p>
        </w:tc>
        <w:tc>
          <w:tcPr>
            <w:tcW w:w="1701" w:type="dxa"/>
            <w:tcBorders>
              <w:top w:val="nil"/>
              <w:left w:val="nil"/>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2 120 263,56</w:t>
            </w:r>
          </w:p>
        </w:tc>
        <w:tc>
          <w:tcPr>
            <w:tcW w:w="1701" w:type="dxa"/>
            <w:tcBorders>
              <w:top w:val="nil"/>
              <w:left w:val="nil"/>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Přestupková agenda             </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43 500,00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43 500,00</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APK - dotace SR                </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90 529,00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90 529,00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31 531,03</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122 060,03</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APK - SR - </w:t>
            </w:r>
            <w:proofErr w:type="spellStart"/>
            <w:r w:rsidRPr="007154F7">
              <w:rPr>
                <w:rFonts w:ascii="Verdana" w:hAnsi="Verdana"/>
                <w:sz w:val="20"/>
                <w:szCs w:val="20"/>
              </w:rPr>
              <w:t>nepř.n</w:t>
            </w:r>
            <w:proofErr w:type="spellEnd"/>
            <w:r w:rsidRPr="007154F7">
              <w:rPr>
                <w:rFonts w:ascii="Verdana" w:hAnsi="Verdana"/>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22 632,00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22 632,00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7 883,01</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30 515,01</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APK - dotace EU                </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769 495,00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769 495,00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268 015,28</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1 037 510,28</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APK - EU - </w:t>
            </w:r>
            <w:proofErr w:type="spellStart"/>
            <w:r w:rsidRPr="007154F7">
              <w:rPr>
                <w:rFonts w:ascii="Verdana" w:hAnsi="Verdana"/>
                <w:sz w:val="20"/>
                <w:szCs w:val="20"/>
              </w:rPr>
              <w:t>nepř.n</w:t>
            </w:r>
            <w:proofErr w:type="spellEnd"/>
            <w:r w:rsidRPr="007154F7">
              <w:rPr>
                <w:rFonts w:ascii="Verdana" w:hAnsi="Verdana"/>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192 374,00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192 374,00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67 003,56</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259 377,56</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lastRenderedPageBreak/>
              <w:t xml:space="preserve">SPOD - dotace                  </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5 940 000,00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7 864 517,80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0,02</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7 864 517,82</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KÚ - Podpora </w:t>
            </w:r>
            <w:proofErr w:type="spellStart"/>
            <w:r w:rsidRPr="007154F7">
              <w:rPr>
                <w:rFonts w:ascii="Verdana" w:hAnsi="Verdana"/>
                <w:sz w:val="20"/>
                <w:szCs w:val="20"/>
              </w:rPr>
              <w:t>turist</w:t>
            </w:r>
            <w:proofErr w:type="spellEnd"/>
            <w:r w:rsidRPr="007154F7">
              <w:rPr>
                <w:rFonts w:ascii="Verdana" w:hAnsi="Verdana"/>
                <w:sz w:val="20"/>
                <w:szCs w:val="20"/>
              </w:rPr>
              <w:t xml:space="preserve">. center    </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21 000,00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21 000,00</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Podpora </w:t>
            </w:r>
            <w:proofErr w:type="spellStart"/>
            <w:r w:rsidRPr="007154F7">
              <w:rPr>
                <w:rFonts w:ascii="Verdana" w:hAnsi="Verdana"/>
                <w:sz w:val="20"/>
                <w:szCs w:val="20"/>
              </w:rPr>
              <w:t>cyklodopravy</w:t>
            </w:r>
            <w:proofErr w:type="spellEnd"/>
            <w:r w:rsidRPr="007154F7">
              <w:rPr>
                <w:rFonts w:ascii="Verdana" w:hAnsi="Verdana"/>
                <w:sz w:val="20"/>
                <w:szCs w:val="20"/>
              </w:rPr>
              <w:t xml:space="preserve"> v Kutné Ho</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5 650 208,20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422 718,15</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6 072 926,35</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Dotace celkem:</w:t>
            </w:r>
          </w:p>
        </w:tc>
        <w:tc>
          <w:tcPr>
            <w:tcW w:w="1418" w:type="dxa"/>
            <w:tcBorders>
              <w:top w:val="nil"/>
              <w:left w:val="nil"/>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w:t>
            </w:r>
          </w:p>
        </w:tc>
        <w:tc>
          <w:tcPr>
            <w:tcW w:w="1842" w:type="dxa"/>
            <w:tcBorders>
              <w:top w:val="nil"/>
              <w:left w:val="nil"/>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w:t>
            </w:r>
          </w:p>
        </w:tc>
        <w:tc>
          <w:tcPr>
            <w:tcW w:w="1701" w:type="dxa"/>
            <w:tcBorders>
              <w:top w:val="nil"/>
              <w:left w:val="nil"/>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861 651,05</w:t>
            </w:r>
          </w:p>
        </w:tc>
        <w:tc>
          <w:tcPr>
            <w:tcW w:w="1701" w:type="dxa"/>
            <w:tcBorders>
              <w:top w:val="nil"/>
              <w:left w:val="nil"/>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Celkem příjmy:</w:t>
            </w:r>
          </w:p>
        </w:tc>
        <w:tc>
          <w:tcPr>
            <w:tcW w:w="1418" w:type="dxa"/>
            <w:tcBorders>
              <w:top w:val="nil"/>
              <w:left w:val="nil"/>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 </w:t>
            </w:r>
          </w:p>
        </w:tc>
        <w:tc>
          <w:tcPr>
            <w:tcW w:w="1842" w:type="dxa"/>
            <w:tcBorders>
              <w:top w:val="nil"/>
              <w:left w:val="nil"/>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 </w:t>
            </w:r>
          </w:p>
        </w:tc>
        <w:tc>
          <w:tcPr>
            <w:tcW w:w="1701" w:type="dxa"/>
            <w:tcBorders>
              <w:top w:val="nil"/>
              <w:left w:val="nil"/>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22 075 101,47</w:t>
            </w:r>
          </w:p>
        </w:tc>
        <w:tc>
          <w:tcPr>
            <w:tcW w:w="1701" w:type="dxa"/>
            <w:tcBorders>
              <w:top w:val="nil"/>
              <w:left w:val="nil"/>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 </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Pěstounská péče -  mzdy        </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71 126,00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834 276,89</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-463 651,89</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370 625,00</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Poplatky za vedení             </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60 810,00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4 055,00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64 865,00</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Obnova rybníka </w:t>
            </w:r>
            <w:proofErr w:type="spellStart"/>
            <w:r w:rsidRPr="007154F7">
              <w:rPr>
                <w:rFonts w:ascii="Verdana" w:hAnsi="Verdana"/>
                <w:sz w:val="20"/>
                <w:szCs w:val="20"/>
              </w:rPr>
              <w:t>Lorčák</w:t>
            </w:r>
            <w:proofErr w:type="spellEnd"/>
            <w:r w:rsidRPr="007154F7">
              <w:rPr>
                <w:rFonts w:ascii="Verdana" w:hAnsi="Verdana"/>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82 300,00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82 300,00</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proofErr w:type="spellStart"/>
            <w:proofErr w:type="gramStart"/>
            <w:r w:rsidRPr="007154F7">
              <w:rPr>
                <w:rFonts w:ascii="Verdana" w:hAnsi="Verdana"/>
                <w:sz w:val="20"/>
                <w:szCs w:val="20"/>
              </w:rPr>
              <w:t>Vl</w:t>
            </w:r>
            <w:proofErr w:type="gramEnd"/>
            <w:r w:rsidRPr="007154F7">
              <w:rPr>
                <w:rFonts w:ascii="Verdana" w:hAnsi="Verdana"/>
                <w:sz w:val="20"/>
                <w:szCs w:val="20"/>
              </w:rPr>
              <w:t>.</w:t>
            </w:r>
            <w:proofErr w:type="gramStart"/>
            <w:r w:rsidRPr="007154F7">
              <w:rPr>
                <w:rFonts w:ascii="Verdana" w:hAnsi="Verdana"/>
                <w:sz w:val="20"/>
                <w:szCs w:val="20"/>
              </w:rPr>
              <w:t>dvůr</w:t>
            </w:r>
            <w:proofErr w:type="spellEnd"/>
            <w:proofErr w:type="gramEnd"/>
            <w:r w:rsidRPr="007154F7">
              <w:rPr>
                <w:rFonts w:ascii="Verdana" w:hAnsi="Verdana"/>
                <w:sz w:val="20"/>
                <w:szCs w:val="20"/>
              </w:rPr>
              <w:t xml:space="preserve"> - revitalizace         </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342 210,85</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-342 210,85</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Opravy a udržování  - městský rozhlas</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10 170,00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10 170,00</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Kurzové ztráty                 </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10 481,50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10 481,50</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Podpora </w:t>
            </w:r>
            <w:proofErr w:type="spellStart"/>
            <w:r w:rsidRPr="007154F7">
              <w:rPr>
                <w:rFonts w:ascii="Verdana" w:hAnsi="Verdana"/>
                <w:sz w:val="20"/>
                <w:szCs w:val="20"/>
              </w:rPr>
              <w:t>cyklodopravy</w:t>
            </w:r>
            <w:proofErr w:type="spellEnd"/>
            <w:r w:rsidRPr="007154F7">
              <w:rPr>
                <w:rFonts w:ascii="Verdana" w:hAnsi="Verdana"/>
                <w:sz w:val="20"/>
                <w:szCs w:val="20"/>
              </w:rPr>
              <w:t xml:space="preserve"> v Kutné H.</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17 666,00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-17 567,10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98,9</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Podpora </w:t>
            </w:r>
            <w:proofErr w:type="spellStart"/>
            <w:r w:rsidRPr="007154F7">
              <w:rPr>
                <w:rFonts w:ascii="Verdana" w:hAnsi="Verdana"/>
                <w:sz w:val="20"/>
                <w:szCs w:val="20"/>
              </w:rPr>
              <w:t>cyklodopravy</w:t>
            </w:r>
            <w:proofErr w:type="spellEnd"/>
            <w:r w:rsidRPr="007154F7">
              <w:rPr>
                <w:rFonts w:ascii="Verdana" w:hAnsi="Verdana"/>
                <w:sz w:val="20"/>
                <w:szCs w:val="20"/>
              </w:rPr>
              <w:t xml:space="preserve"> v Kutné H.</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294 151,00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-292 469,70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1 681,30</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S-firma - příspěvek            </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8 000,00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8 000,00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-2 241,00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5 759,00</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Příspěvkový program - </w:t>
            </w:r>
            <w:proofErr w:type="spellStart"/>
            <w:r w:rsidRPr="007154F7">
              <w:rPr>
                <w:rFonts w:ascii="Verdana" w:hAnsi="Verdana"/>
                <w:sz w:val="20"/>
                <w:szCs w:val="20"/>
              </w:rPr>
              <w:t>soc.oblas</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200 000,00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63 108,00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-63 108,00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Fond regenerace - PO příspěvky </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300 000,00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410 000,00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-120 000,00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290 000,00</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Fond regenerace - FO příspěvky </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700 000,00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1 020 000,00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-220 000,00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800 000,00</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Fond regenerace - reklamní zař.</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300 000,00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137 682,00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-137 682,00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Sociální fond - půjčky         </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40 000,00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18 304,00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-8 304,00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10 000,00</w:t>
            </w:r>
          </w:p>
        </w:tc>
      </w:tr>
      <w:tr w:rsidR="007154F7" w:rsidRPr="007154F7" w:rsidTr="007154F7">
        <w:trPr>
          <w:trHeight w:val="576"/>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Městská knihovna - </w:t>
            </w:r>
            <w:proofErr w:type="spellStart"/>
            <w:r w:rsidRPr="007154F7">
              <w:rPr>
                <w:rFonts w:ascii="Verdana" w:hAnsi="Verdana"/>
                <w:sz w:val="20"/>
                <w:szCs w:val="20"/>
              </w:rPr>
              <w:t>neinv.příspěvek</w:t>
            </w:r>
            <w:proofErr w:type="spellEnd"/>
            <w:r w:rsidRPr="007154F7">
              <w:rPr>
                <w:rFonts w:ascii="Verdana" w:hAnsi="Verdana"/>
                <w:sz w:val="20"/>
                <w:szCs w:val="20"/>
              </w:rPr>
              <w:t xml:space="preserve"> dle VPS</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0,00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403 604,00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403 604,00</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FRB - poskytnuté půjčky        </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2 920 000,00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2 920 000,00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-1 680 000,00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1 240 000,00</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Nespecifikované rezervy        </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500 000,00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224 523,00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-224 523,00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Rezerva - přenesená působnost  </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848 997,67</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-848 997,67</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Rezerva OSVZ                   </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200 000,00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193 500,00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-193 500,00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Rezerva na krizová opatření    </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100 000,00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66 967,00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-66 967,00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Rozpočtová rezerva             </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2 800 000,00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2 040 368,19</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-2 040 368,19</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Participativní rozpočet  rezerva</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200 000,00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113 100,00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-113 100,00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Běžné výdaje celkem</w:t>
            </w:r>
          </w:p>
        </w:tc>
        <w:tc>
          <w:tcPr>
            <w:tcW w:w="1418" w:type="dxa"/>
            <w:tcBorders>
              <w:top w:val="nil"/>
              <w:left w:val="nil"/>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w:t>
            </w:r>
          </w:p>
        </w:tc>
        <w:tc>
          <w:tcPr>
            <w:tcW w:w="1842" w:type="dxa"/>
            <w:tcBorders>
              <w:top w:val="nil"/>
              <w:left w:val="nil"/>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w:t>
            </w:r>
          </w:p>
        </w:tc>
        <w:tc>
          <w:tcPr>
            <w:tcW w:w="1701" w:type="dxa"/>
            <w:tcBorders>
              <w:top w:val="nil"/>
              <w:left w:val="nil"/>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-6 324 079,90</w:t>
            </w:r>
          </w:p>
        </w:tc>
        <w:tc>
          <w:tcPr>
            <w:tcW w:w="1701" w:type="dxa"/>
            <w:tcBorders>
              <w:top w:val="nil"/>
              <w:left w:val="nil"/>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PD kan. </w:t>
            </w:r>
            <w:proofErr w:type="gramStart"/>
            <w:r w:rsidRPr="007154F7">
              <w:rPr>
                <w:rFonts w:ascii="Verdana" w:hAnsi="Verdana"/>
                <w:sz w:val="20"/>
                <w:szCs w:val="20"/>
              </w:rPr>
              <w:t>příp.</w:t>
            </w:r>
            <w:proofErr w:type="gramEnd"/>
            <w:r w:rsidRPr="007154F7">
              <w:rPr>
                <w:rFonts w:ascii="Verdana" w:hAnsi="Verdana"/>
                <w:sz w:val="20"/>
                <w:szCs w:val="20"/>
              </w:rPr>
              <w:t xml:space="preserve"> Perštejnec       </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320 410,00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-82 300,00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238 110,00</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Tebis - nákup KJ UZ 161/19</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34 486 103,52</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-3 489 287,52</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30 996 816,00</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MP - technické zhodnocení      </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21 175,00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21 175,00</w:t>
            </w:r>
          </w:p>
        </w:tc>
      </w:tr>
      <w:tr w:rsidR="007154F7" w:rsidRPr="007154F7" w:rsidTr="007154F7">
        <w:trPr>
          <w:trHeight w:val="288"/>
        </w:trPr>
        <w:tc>
          <w:tcPr>
            <w:tcW w:w="2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MP - stroje přístroje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217 020,39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217 020,39</w:t>
            </w:r>
          </w:p>
        </w:tc>
      </w:tr>
      <w:tr w:rsidR="007154F7" w:rsidRPr="007154F7" w:rsidTr="007154F7">
        <w:trPr>
          <w:trHeight w:val="288"/>
        </w:trPr>
        <w:tc>
          <w:tcPr>
            <w:tcW w:w="2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MP - auto (nákup)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460 000,00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55 712,00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515 712,00</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lastRenderedPageBreak/>
              <w:t xml:space="preserve">Podpora </w:t>
            </w:r>
            <w:proofErr w:type="spellStart"/>
            <w:r w:rsidRPr="007154F7">
              <w:rPr>
                <w:rFonts w:ascii="Verdana" w:hAnsi="Verdana"/>
                <w:sz w:val="20"/>
                <w:szCs w:val="20"/>
              </w:rPr>
              <w:t>cyklodopravy</w:t>
            </w:r>
            <w:proofErr w:type="spellEnd"/>
            <w:r w:rsidRPr="007154F7">
              <w:rPr>
                <w:rFonts w:ascii="Verdana" w:hAnsi="Verdana"/>
                <w:sz w:val="20"/>
                <w:szCs w:val="20"/>
              </w:rPr>
              <w:t xml:space="preserve"> v Kutné H.</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694 212,00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-609 824,12</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84 387,88</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Podpora </w:t>
            </w:r>
            <w:proofErr w:type="spellStart"/>
            <w:r w:rsidRPr="007154F7">
              <w:rPr>
                <w:rFonts w:ascii="Verdana" w:hAnsi="Verdana"/>
                <w:sz w:val="20"/>
                <w:szCs w:val="20"/>
              </w:rPr>
              <w:t>cyklodopravy</w:t>
            </w:r>
            <w:proofErr w:type="spellEnd"/>
            <w:r w:rsidRPr="007154F7">
              <w:rPr>
                <w:rFonts w:ascii="Verdana" w:hAnsi="Verdana"/>
                <w:sz w:val="20"/>
                <w:szCs w:val="20"/>
              </w:rPr>
              <w:t xml:space="preserve"> v Kutné H.</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4 983 327,00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-3 548 733,07</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1 434 593,93</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Sportovní hala </w:t>
            </w:r>
            <w:proofErr w:type="spellStart"/>
            <w:r w:rsidRPr="007154F7">
              <w:rPr>
                <w:rFonts w:ascii="Verdana" w:hAnsi="Verdana"/>
                <w:sz w:val="20"/>
                <w:szCs w:val="20"/>
              </w:rPr>
              <w:t>Klimeška</w:t>
            </w:r>
            <w:proofErr w:type="spellEnd"/>
            <w:r w:rsidRPr="007154F7">
              <w:rPr>
                <w:rFonts w:ascii="Verdana" w:hAnsi="Verdana"/>
                <w:sz w:val="20"/>
                <w:szCs w:val="20"/>
              </w:rPr>
              <w:t xml:space="preserve"> III.   </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6 807 668,00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-6 807 668,00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Městská knihovna - </w:t>
            </w:r>
            <w:proofErr w:type="spellStart"/>
            <w:r w:rsidRPr="007154F7">
              <w:rPr>
                <w:rFonts w:ascii="Verdana" w:hAnsi="Verdana"/>
                <w:sz w:val="20"/>
                <w:szCs w:val="20"/>
              </w:rPr>
              <w:t>inv.příspěvek</w:t>
            </w:r>
            <w:proofErr w:type="spellEnd"/>
            <w:r w:rsidRPr="007154F7">
              <w:rPr>
                <w:rFonts w:ascii="Verdana" w:hAnsi="Verdana"/>
                <w:sz w:val="20"/>
                <w:szCs w:val="20"/>
              </w:rPr>
              <w:t xml:space="preserve"> VPS</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23 000 000,00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23 000 000,00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-1 287 804,00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21 712 196,00</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Městská knihovna - úvěrový rámec</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30 000 000,00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30 000 000,00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-27 901 255,00</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2 098 745,00</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Investiční rezerva             </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5 453 790,00</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701 197,62</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-701 197,62</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Kapitálové výdaje celkem</w:t>
            </w:r>
          </w:p>
        </w:tc>
        <w:tc>
          <w:tcPr>
            <w:tcW w:w="1418" w:type="dxa"/>
            <w:tcBorders>
              <w:top w:val="nil"/>
              <w:left w:val="nil"/>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w:t>
            </w:r>
          </w:p>
        </w:tc>
        <w:tc>
          <w:tcPr>
            <w:tcW w:w="1842" w:type="dxa"/>
            <w:tcBorders>
              <w:top w:val="nil"/>
              <w:left w:val="nil"/>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w:t>
            </w:r>
          </w:p>
        </w:tc>
        <w:tc>
          <w:tcPr>
            <w:tcW w:w="1701" w:type="dxa"/>
            <w:tcBorders>
              <w:top w:val="nil"/>
              <w:left w:val="nil"/>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-44 134 161,94</w:t>
            </w:r>
          </w:p>
        </w:tc>
        <w:tc>
          <w:tcPr>
            <w:tcW w:w="1701" w:type="dxa"/>
            <w:tcBorders>
              <w:top w:val="nil"/>
              <w:left w:val="nil"/>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Výdaje celkem</w:t>
            </w:r>
          </w:p>
        </w:tc>
        <w:tc>
          <w:tcPr>
            <w:tcW w:w="1418" w:type="dxa"/>
            <w:tcBorders>
              <w:top w:val="nil"/>
              <w:left w:val="nil"/>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 </w:t>
            </w:r>
          </w:p>
        </w:tc>
        <w:tc>
          <w:tcPr>
            <w:tcW w:w="1842" w:type="dxa"/>
            <w:tcBorders>
              <w:top w:val="nil"/>
              <w:left w:val="nil"/>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 </w:t>
            </w:r>
          </w:p>
        </w:tc>
        <w:tc>
          <w:tcPr>
            <w:tcW w:w="1701" w:type="dxa"/>
            <w:tcBorders>
              <w:top w:val="nil"/>
              <w:left w:val="nil"/>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-50 458 241,84</w:t>
            </w:r>
          </w:p>
        </w:tc>
        <w:tc>
          <w:tcPr>
            <w:tcW w:w="1701" w:type="dxa"/>
            <w:tcBorders>
              <w:top w:val="nil"/>
              <w:left w:val="nil"/>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 </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Saldo rozpočtu:</w:t>
            </w:r>
          </w:p>
        </w:tc>
        <w:tc>
          <w:tcPr>
            <w:tcW w:w="1418"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w:t>
            </w:r>
          </w:p>
        </w:tc>
        <w:tc>
          <w:tcPr>
            <w:tcW w:w="1842"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72 533 343,31</w:t>
            </w:r>
          </w:p>
        </w:tc>
        <w:tc>
          <w:tcPr>
            <w:tcW w:w="1701" w:type="dxa"/>
            <w:tcBorders>
              <w:top w:val="nil"/>
              <w:left w:val="nil"/>
              <w:bottom w:val="single" w:sz="4" w:space="0" w:color="auto"/>
              <w:right w:val="single" w:sz="4" w:space="0" w:color="auto"/>
            </w:tcBorders>
            <w:shd w:val="clear" w:color="auto" w:fill="auto"/>
            <w:noWrap/>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w:t>
            </w:r>
          </w:p>
        </w:tc>
      </w:tr>
      <w:tr w:rsidR="007154F7" w:rsidRPr="007154F7" w:rsidTr="007154F7">
        <w:trPr>
          <w:trHeight w:val="288"/>
        </w:trPr>
        <w:tc>
          <w:tcPr>
            <w:tcW w:w="2992" w:type="dxa"/>
            <w:tcBorders>
              <w:top w:val="nil"/>
              <w:left w:val="single" w:sz="4" w:space="0" w:color="auto"/>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Změna stavu na bankovních účtech</w:t>
            </w:r>
          </w:p>
        </w:tc>
        <w:tc>
          <w:tcPr>
            <w:tcW w:w="1418" w:type="dxa"/>
            <w:tcBorders>
              <w:top w:val="nil"/>
              <w:left w:val="nil"/>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 xml:space="preserve">25 000 000,00 </w:t>
            </w:r>
          </w:p>
        </w:tc>
        <w:tc>
          <w:tcPr>
            <w:tcW w:w="1842" w:type="dxa"/>
            <w:tcBorders>
              <w:top w:val="nil"/>
              <w:left w:val="nil"/>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 xml:space="preserve">59 063 962,00 </w:t>
            </w:r>
          </w:p>
        </w:tc>
        <w:tc>
          <w:tcPr>
            <w:tcW w:w="1701" w:type="dxa"/>
            <w:tcBorders>
              <w:top w:val="nil"/>
              <w:left w:val="nil"/>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 xml:space="preserve">-72 533 343,31 </w:t>
            </w:r>
          </w:p>
        </w:tc>
        <w:tc>
          <w:tcPr>
            <w:tcW w:w="1701" w:type="dxa"/>
            <w:tcBorders>
              <w:top w:val="nil"/>
              <w:left w:val="nil"/>
              <w:bottom w:val="single" w:sz="4" w:space="0" w:color="auto"/>
              <w:right w:val="single" w:sz="4" w:space="0" w:color="auto"/>
            </w:tcBorders>
            <w:shd w:val="clear" w:color="000000" w:fill="EEECE1"/>
            <w:noWrap/>
            <w:vAlign w:val="center"/>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-13 469 381,31</w:t>
            </w:r>
          </w:p>
        </w:tc>
      </w:tr>
    </w:tbl>
    <w:p w:rsidR="004B6D91" w:rsidRPr="007154F7" w:rsidRDefault="004B6D91" w:rsidP="007154F7">
      <w:pPr>
        <w:spacing w:after="0"/>
        <w:jc w:val="both"/>
        <w:rPr>
          <w:rFonts w:ascii="Verdana" w:hAnsi="Verdana"/>
          <w:sz w:val="20"/>
          <w:szCs w:val="20"/>
        </w:rPr>
      </w:pPr>
    </w:p>
    <w:p w:rsidR="004B6D91" w:rsidRPr="007154F7" w:rsidRDefault="004B6D91" w:rsidP="007154F7">
      <w:pPr>
        <w:spacing w:after="0"/>
        <w:jc w:val="both"/>
        <w:rPr>
          <w:rFonts w:ascii="Verdana" w:hAnsi="Verdana"/>
          <w:sz w:val="20"/>
          <w:szCs w:val="20"/>
        </w:rPr>
      </w:pPr>
    </w:p>
    <w:p w:rsidR="004B6D91" w:rsidRPr="007154F7" w:rsidRDefault="004B6D91" w:rsidP="007154F7">
      <w:pPr>
        <w:spacing w:after="0"/>
        <w:jc w:val="both"/>
        <w:rPr>
          <w:rFonts w:ascii="Verdana" w:hAnsi="Verdana"/>
          <w:b/>
          <w:sz w:val="20"/>
          <w:szCs w:val="20"/>
        </w:rPr>
      </w:pPr>
      <w:r w:rsidRPr="007154F7">
        <w:rPr>
          <w:rFonts w:ascii="Verdana" w:hAnsi="Verdana"/>
          <w:b/>
          <w:sz w:val="20"/>
          <w:szCs w:val="20"/>
        </w:rPr>
        <w:t>2/02 Plnění r</w:t>
      </w:r>
      <w:r w:rsidRPr="007154F7">
        <w:rPr>
          <w:rFonts w:ascii="Verdana" w:hAnsi="Verdana"/>
          <w:b/>
          <w:sz w:val="20"/>
          <w:szCs w:val="20"/>
          <w:shd w:val="clear" w:color="auto" w:fill="EEECE1" w:themeFill="background2"/>
        </w:rPr>
        <w:t>o</w:t>
      </w:r>
      <w:r w:rsidRPr="007154F7">
        <w:rPr>
          <w:rFonts w:ascii="Verdana" w:hAnsi="Verdana"/>
          <w:b/>
          <w:sz w:val="20"/>
          <w:szCs w:val="20"/>
        </w:rPr>
        <w:t>zpočtu města Kutná Hora k </w:t>
      </w:r>
      <w:proofErr w:type="gramStart"/>
      <w:r w:rsidRPr="007154F7">
        <w:rPr>
          <w:rFonts w:ascii="Verdana" w:hAnsi="Verdana"/>
          <w:b/>
          <w:sz w:val="20"/>
          <w:szCs w:val="20"/>
        </w:rPr>
        <w:t>31.12.2019</w:t>
      </w:r>
      <w:proofErr w:type="gramEnd"/>
    </w:p>
    <w:p w:rsidR="004B6D91" w:rsidRPr="007154F7" w:rsidRDefault="004B6D91" w:rsidP="007154F7">
      <w:pPr>
        <w:spacing w:after="0"/>
        <w:jc w:val="both"/>
        <w:rPr>
          <w:rFonts w:ascii="Verdana" w:hAnsi="Verdana"/>
          <w:sz w:val="20"/>
          <w:szCs w:val="20"/>
        </w:rPr>
      </w:pPr>
      <w:r w:rsidRPr="007154F7">
        <w:rPr>
          <w:rFonts w:ascii="Verdana" w:hAnsi="Verdana"/>
          <w:sz w:val="20"/>
          <w:szCs w:val="20"/>
        </w:rPr>
        <w:t>Město Kutná Hora hospodařilo od 1. 1. 2019 podle schváleného rozpočtu. K </w:t>
      </w:r>
      <w:proofErr w:type="gramStart"/>
      <w:r w:rsidRPr="007154F7">
        <w:rPr>
          <w:rFonts w:ascii="Verdana" w:hAnsi="Verdana"/>
          <w:sz w:val="20"/>
          <w:szCs w:val="20"/>
        </w:rPr>
        <w:t>31.12.2019</w:t>
      </w:r>
      <w:proofErr w:type="gramEnd"/>
      <w:r w:rsidRPr="007154F7">
        <w:rPr>
          <w:rFonts w:ascii="Verdana" w:hAnsi="Verdana"/>
          <w:sz w:val="20"/>
          <w:szCs w:val="20"/>
        </w:rPr>
        <w:t xml:space="preserve"> byly do příjmové a výdajové části rozpočtu promítnuty veškeré rozpočtové změny, které schválila rada města a zastupitelstvo města.</w:t>
      </w:r>
    </w:p>
    <w:p w:rsidR="004B6D91" w:rsidRPr="007154F7" w:rsidRDefault="004B6D91" w:rsidP="007154F7">
      <w:pPr>
        <w:spacing w:after="0"/>
        <w:jc w:val="both"/>
        <w:rPr>
          <w:rFonts w:ascii="Verdana" w:hAnsi="Verdana"/>
          <w:b/>
          <w:sz w:val="20"/>
          <w:szCs w:val="20"/>
        </w:rPr>
      </w:pPr>
      <w:r w:rsidRPr="007154F7">
        <w:rPr>
          <w:rFonts w:ascii="Verdana" w:hAnsi="Verdana"/>
          <w:b/>
          <w:sz w:val="20"/>
          <w:szCs w:val="20"/>
        </w:rPr>
        <w:t>Příjmy v Kč:</w:t>
      </w:r>
    </w:p>
    <w:p w:rsidR="004B6D91" w:rsidRPr="007154F7" w:rsidRDefault="004B6D91" w:rsidP="007154F7">
      <w:pPr>
        <w:spacing w:after="0"/>
        <w:jc w:val="both"/>
        <w:rPr>
          <w:rFonts w:ascii="Verdana" w:hAnsi="Verdana"/>
          <w:sz w:val="20"/>
          <w:szCs w:val="20"/>
        </w:rPr>
      </w:pPr>
    </w:p>
    <w:tbl>
      <w:tblPr>
        <w:tblW w:w="8940" w:type="dxa"/>
        <w:tblInd w:w="55" w:type="dxa"/>
        <w:tblCellMar>
          <w:left w:w="70" w:type="dxa"/>
          <w:right w:w="70" w:type="dxa"/>
        </w:tblCellMar>
        <w:tblLook w:val="04A0" w:firstRow="1" w:lastRow="0" w:firstColumn="1" w:lastColumn="0" w:noHBand="0" w:noVBand="1"/>
      </w:tblPr>
      <w:tblGrid>
        <w:gridCol w:w="2059"/>
        <w:gridCol w:w="1660"/>
        <w:gridCol w:w="1640"/>
        <w:gridCol w:w="1800"/>
        <w:gridCol w:w="924"/>
        <w:gridCol w:w="924"/>
      </w:tblGrid>
      <w:tr w:rsidR="007154F7" w:rsidRPr="007154F7" w:rsidTr="007154F7">
        <w:trPr>
          <w:trHeight w:val="300"/>
        </w:trPr>
        <w:tc>
          <w:tcPr>
            <w:tcW w:w="2060" w:type="dxa"/>
            <w:vMerge w:val="restart"/>
            <w:tcBorders>
              <w:top w:val="single" w:sz="4" w:space="0" w:color="auto"/>
              <w:left w:val="single" w:sz="4" w:space="0" w:color="auto"/>
              <w:bottom w:val="single" w:sz="4" w:space="0" w:color="auto"/>
              <w:right w:val="single" w:sz="4" w:space="0" w:color="auto"/>
            </w:tcBorders>
            <w:shd w:val="clear" w:color="auto" w:fill="DDD9C3"/>
            <w:noWrap/>
            <w:vAlign w:val="center"/>
            <w:hideMark/>
          </w:tcPr>
          <w:p w:rsidR="004B6D91" w:rsidRPr="007154F7" w:rsidRDefault="004B6D91" w:rsidP="007154F7">
            <w:pPr>
              <w:spacing w:after="0"/>
              <w:jc w:val="both"/>
              <w:rPr>
                <w:rFonts w:ascii="Verdana" w:hAnsi="Verdana" w:cs="Calibri"/>
                <w:b/>
                <w:bCs/>
                <w:sz w:val="20"/>
                <w:szCs w:val="20"/>
              </w:rPr>
            </w:pPr>
            <w:r w:rsidRPr="007154F7">
              <w:rPr>
                <w:rFonts w:ascii="Verdana" w:hAnsi="Verdana" w:cs="Calibri"/>
                <w:b/>
                <w:bCs/>
                <w:sz w:val="20"/>
                <w:szCs w:val="20"/>
              </w:rPr>
              <w:t>Třída</w:t>
            </w:r>
          </w:p>
        </w:tc>
        <w:tc>
          <w:tcPr>
            <w:tcW w:w="1660" w:type="dxa"/>
            <w:vMerge w:val="restart"/>
            <w:tcBorders>
              <w:top w:val="single" w:sz="4" w:space="0" w:color="auto"/>
              <w:left w:val="single" w:sz="4" w:space="0" w:color="auto"/>
              <w:bottom w:val="single" w:sz="4" w:space="0" w:color="auto"/>
              <w:right w:val="nil"/>
            </w:tcBorders>
            <w:shd w:val="clear" w:color="auto" w:fill="DDD9C3"/>
            <w:noWrap/>
            <w:vAlign w:val="center"/>
            <w:hideMark/>
          </w:tcPr>
          <w:p w:rsidR="004B6D91" w:rsidRPr="007154F7" w:rsidRDefault="004B6D91" w:rsidP="007154F7">
            <w:pPr>
              <w:spacing w:after="0"/>
              <w:jc w:val="both"/>
              <w:rPr>
                <w:rFonts w:ascii="Verdana" w:hAnsi="Verdana" w:cs="Calibri"/>
                <w:b/>
                <w:bCs/>
                <w:sz w:val="20"/>
                <w:szCs w:val="20"/>
              </w:rPr>
            </w:pPr>
            <w:r w:rsidRPr="007154F7">
              <w:rPr>
                <w:rFonts w:ascii="Verdana" w:hAnsi="Verdana" w:cs="Calibri"/>
                <w:b/>
                <w:bCs/>
                <w:sz w:val="20"/>
                <w:szCs w:val="20"/>
              </w:rPr>
              <w:t>Skutečnost</w:t>
            </w:r>
          </w:p>
        </w:tc>
        <w:tc>
          <w:tcPr>
            <w:tcW w:w="1640" w:type="dxa"/>
            <w:tcBorders>
              <w:top w:val="single" w:sz="4" w:space="0" w:color="auto"/>
              <w:left w:val="single" w:sz="4" w:space="0" w:color="auto"/>
              <w:bottom w:val="nil"/>
              <w:right w:val="single" w:sz="4" w:space="0" w:color="auto"/>
            </w:tcBorders>
            <w:shd w:val="clear" w:color="auto" w:fill="DDD9C3"/>
            <w:noWrap/>
            <w:vAlign w:val="bottom"/>
            <w:hideMark/>
          </w:tcPr>
          <w:p w:rsidR="004B6D91" w:rsidRPr="007154F7" w:rsidRDefault="004B6D91" w:rsidP="007154F7">
            <w:pPr>
              <w:spacing w:after="0"/>
              <w:jc w:val="both"/>
              <w:rPr>
                <w:rFonts w:ascii="Verdana" w:hAnsi="Verdana" w:cs="Calibri"/>
                <w:b/>
                <w:bCs/>
                <w:sz w:val="20"/>
                <w:szCs w:val="20"/>
              </w:rPr>
            </w:pPr>
            <w:r w:rsidRPr="007154F7">
              <w:rPr>
                <w:rFonts w:ascii="Verdana" w:hAnsi="Verdana" w:cs="Calibri"/>
                <w:b/>
                <w:bCs/>
                <w:sz w:val="20"/>
                <w:szCs w:val="20"/>
              </w:rPr>
              <w:t>Rozpočet</w:t>
            </w:r>
          </w:p>
        </w:tc>
        <w:tc>
          <w:tcPr>
            <w:tcW w:w="1800" w:type="dxa"/>
            <w:tcBorders>
              <w:top w:val="single" w:sz="4" w:space="0" w:color="auto"/>
              <w:left w:val="nil"/>
              <w:bottom w:val="nil"/>
              <w:right w:val="single" w:sz="4" w:space="0" w:color="auto"/>
            </w:tcBorders>
            <w:shd w:val="clear" w:color="auto" w:fill="DDD9C3"/>
            <w:noWrap/>
            <w:vAlign w:val="bottom"/>
            <w:hideMark/>
          </w:tcPr>
          <w:p w:rsidR="004B6D91" w:rsidRPr="007154F7" w:rsidRDefault="004B6D91" w:rsidP="007154F7">
            <w:pPr>
              <w:spacing w:after="0"/>
              <w:jc w:val="both"/>
              <w:rPr>
                <w:rFonts w:ascii="Verdana" w:hAnsi="Verdana" w:cs="Calibri"/>
                <w:b/>
                <w:bCs/>
                <w:sz w:val="20"/>
                <w:szCs w:val="20"/>
              </w:rPr>
            </w:pPr>
            <w:r w:rsidRPr="007154F7">
              <w:rPr>
                <w:rFonts w:ascii="Verdana" w:hAnsi="Verdana" w:cs="Calibri"/>
                <w:b/>
                <w:bCs/>
                <w:sz w:val="20"/>
                <w:szCs w:val="20"/>
              </w:rPr>
              <w:t>Rozpočet</w:t>
            </w:r>
          </w:p>
        </w:tc>
        <w:tc>
          <w:tcPr>
            <w:tcW w:w="860" w:type="dxa"/>
            <w:vMerge w:val="restart"/>
            <w:tcBorders>
              <w:top w:val="single" w:sz="4" w:space="0" w:color="auto"/>
              <w:left w:val="nil"/>
              <w:bottom w:val="single" w:sz="4" w:space="0" w:color="auto"/>
              <w:right w:val="single" w:sz="4" w:space="0" w:color="auto"/>
            </w:tcBorders>
            <w:shd w:val="clear" w:color="auto" w:fill="DDD9C3"/>
            <w:noWrap/>
            <w:vAlign w:val="center"/>
            <w:hideMark/>
          </w:tcPr>
          <w:p w:rsidR="004B6D91" w:rsidRPr="007154F7" w:rsidRDefault="004B6D91" w:rsidP="007154F7">
            <w:pPr>
              <w:spacing w:after="0"/>
              <w:jc w:val="both"/>
              <w:rPr>
                <w:rFonts w:ascii="Verdana" w:hAnsi="Verdana" w:cs="Calibri"/>
                <w:b/>
                <w:bCs/>
                <w:sz w:val="20"/>
                <w:szCs w:val="20"/>
              </w:rPr>
            </w:pPr>
            <w:r w:rsidRPr="007154F7">
              <w:rPr>
                <w:rFonts w:ascii="Verdana" w:hAnsi="Verdana" w:cs="Calibri"/>
                <w:b/>
                <w:bCs/>
                <w:sz w:val="20"/>
                <w:szCs w:val="20"/>
              </w:rPr>
              <w:t>% SR</w:t>
            </w:r>
          </w:p>
        </w:tc>
        <w:tc>
          <w:tcPr>
            <w:tcW w:w="920" w:type="dxa"/>
            <w:vMerge w:val="restart"/>
            <w:tcBorders>
              <w:top w:val="single" w:sz="4" w:space="0" w:color="auto"/>
              <w:left w:val="single" w:sz="4" w:space="0" w:color="auto"/>
              <w:bottom w:val="single" w:sz="4" w:space="0" w:color="000000"/>
              <w:right w:val="single" w:sz="4" w:space="0" w:color="auto"/>
            </w:tcBorders>
            <w:shd w:val="clear" w:color="auto" w:fill="DDD9C3"/>
            <w:noWrap/>
            <w:vAlign w:val="center"/>
            <w:hideMark/>
          </w:tcPr>
          <w:p w:rsidR="004B6D91" w:rsidRPr="007154F7" w:rsidRDefault="004B6D91" w:rsidP="007154F7">
            <w:pPr>
              <w:spacing w:after="0"/>
              <w:jc w:val="both"/>
              <w:rPr>
                <w:rFonts w:ascii="Verdana" w:hAnsi="Verdana" w:cs="Calibri"/>
                <w:b/>
                <w:bCs/>
                <w:sz w:val="20"/>
                <w:szCs w:val="20"/>
              </w:rPr>
            </w:pPr>
            <w:r w:rsidRPr="007154F7">
              <w:rPr>
                <w:rFonts w:ascii="Verdana" w:hAnsi="Verdana" w:cs="Calibri"/>
                <w:b/>
                <w:bCs/>
                <w:sz w:val="20"/>
                <w:szCs w:val="20"/>
              </w:rPr>
              <w:t>% UR</w:t>
            </w:r>
          </w:p>
        </w:tc>
      </w:tr>
      <w:tr w:rsidR="007154F7" w:rsidRPr="007154F7" w:rsidTr="007154F7">
        <w:trPr>
          <w:trHeight w:val="300"/>
        </w:trPr>
        <w:tc>
          <w:tcPr>
            <w:tcW w:w="2060" w:type="dxa"/>
            <w:vMerge/>
            <w:tcBorders>
              <w:top w:val="single" w:sz="4" w:space="0" w:color="auto"/>
              <w:left w:val="single" w:sz="4" w:space="0" w:color="auto"/>
              <w:bottom w:val="single" w:sz="4" w:space="0" w:color="auto"/>
              <w:right w:val="single" w:sz="4" w:space="0" w:color="auto"/>
            </w:tcBorders>
            <w:vAlign w:val="center"/>
            <w:hideMark/>
          </w:tcPr>
          <w:p w:rsidR="004B6D91" w:rsidRPr="007154F7" w:rsidRDefault="004B6D91" w:rsidP="007154F7">
            <w:pPr>
              <w:spacing w:after="0"/>
              <w:jc w:val="both"/>
              <w:rPr>
                <w:rFonts w:ascii="Verdana" w:hAnsi="Verdana" w:cs="Calibri"/>
                <w:b/>
                <w:bCs/>
                <w:sz w:val="20"/>
                <w:szCs w:val="20"/>
              </w:rPr>
            </w:pPr>
          </w:p>
        </w:tc>
        <w:tc>
          <w:tcPr>
            <w:tcW w:w="1660" w:type="dxa"/>
            <w:vMerge/>
            <w:tcBorders>
              <w:top w:val="single" w:sz="4" w:space="0" w:color="auto"/>
              <w:left w:val="single" w:sz="4" w:space="0" w:color="auto"/>
              <w:bottom w:val="single" w:sz="4" w:space="0" w:color="auto"/>
              <w:right w:val="nil"/>
            </w:tcBorders>
            <w:vAlign w:val="center"/>
            <w:hideMark/>
          </w:tcPr>
          <w:p w:rsidR="004B6D91" w:rsidRPr="007154F7" w:rsidRDefault="004B6D91" w:rsidP="007154F7">
            <w:pPr>
              <w:spacing w:after="0"/>
              <w:jc w:val="both"/>
              <w:rPr>
                <w:rFonts w:ascii="Verdana" w:hAnsi="Verdana" w:cs="Calibri"/>
                <w:b/>
                <w:bCs/>
                <w:sz w:val="20"/>
                <w:szCs w:val="20"/>
              </w:rPr>
            </w:pPr>
          </w:p>
        </w:tc>
        <w:tc>
          <w:tcPr>
            <w:tcW w:w="1640" w:type="dxa"/>
            <w:tcBorders>
              <w:top w:val="nil"/>
              <w:left w:val="single" w:sz="4" w:space="0" w:color="auto"/>
              <w:bottom w:val="single" w:sz="4" w:space="0" w:color="auto"/>
              <w:right w:val="single" w:sz="4" w:space="0" w:color="auto"/>
            </w:tcBorders>
            <w:shd w:val="clear" w:color="auto" w:fill="DDD9C3"/>
            <w:noWrap/>
            <w:vAlign w:val="bottom"/>
            <w:hideMark/>
          </w:tcPr>
          <w:p w:rsidR="004B6D91" w:rsidRPr="007154F7" w:rsidRDefault="004B6D91" w:rsidP="007154F7">
            <w:pPr>
              <w:spacing w:after="0"/>
              <w:jc w:val="both"/>
              <w:rPr>
                <w:rFonts w:ascii="Verdana" w:hAnsi="Verdana" w:cs="Calibri"/>
                <w:b/>
                <w:bCs/>
                <w:sz w:val="20"/>
                <w:szCs w:val="20"/>
              </w:rPr>
            </w:pPr>
            <w:r w:rsidRPr="007154F7">
              <w:rPr>
                <w:rFonts w:ascii="Verdana" w:hAnsi="Verdana" w:cs="Calibri"/>
                <w:b/>
                <w:bCs/>
                <w:sz w:val="20"/>
                <w:szCs w:val="20"/>
              </w:rPr>
              <w:t>schválený</w:t>
            </w:r>
          </w:p>
        </w:tc>
        <w:tc>
          <w:tcPr>
            <w:tcW w:w="1800" w:type="dxa"/>
            <w:tcBorders>
              <w:top w:val="nil"/>
              <w:left w:val="nil"/>
              <w:bottom w:val="single" w:sz="4" w:space="0" w:color="auto"/>
              <w:right w:val="single" w:sz="4" w:space="0" w:color="auto"/>
            </w:tcBorders>
            <w:shd w:val="clear" w:color="auto" w:fill="DDD9C3"/>
            <w:noWrap/>
            <w:vAlign w:val="bottom"/>
            <w:hideMark/>
          </w:tcPr>
          <w:p w:rsidR="004B6D91" w:rsidRPr="007154F7" w:rsidRDefault="004B6D91" w:rsidP="007154F7">
            <w:pPr>
              <w:spacing w:after="0"/>
              <w:jc w:val="both"/>
              <w:rPr>
                <w:rFonts w:ascii="Verdana" w:hAnsi="Verdana" w:cs="Calibri"/>
                <w:b/>
                <w:bCs/>
                <w:sz w:val="20"/>
                <w:szCs w:val="20"/>
              </w:rPr>
            </w:pPr>
            <w:r w:rsidRPr="007154F7">
              <w:rPr>
                <w:rFonts w:ascii="Verdana" w:hAnsi="Verdana" w:cs="Calibri"/>
                <w:b/>
                <w:bCs/>
                <w:sz w:val="20"/>
                <w:szCs w:val="20"/>
              </w:rPr>
              <w:t>po změnách</w:t>
            </w:r>
          </w:p>
        </w:tc>
        <w:tc>
          <w:tcPr>
            <w:tcW w:w="860" w:type="dxa"/>
            <w:vMerge/>
            <w:tcBorders>
              <w:top w:val="single" w:sz="4" w:space="0" w:color="auto"/>
              <w:left w:val="nil"/>
              <w:bottom w:val="single" w:sz="4" w:space="0" w:color="auto"/>
              <w:right w:val="single" w:sz="4" w:space="0" w:color="auto"/>
            </w:tcBorders>
            <w:vAlign w:val="center"/>
            <w:hideMark/>
          </w:tcPr>
          <w:p w:rsidR="004B6D91" w:rsidRPr="007154F7" w:rsidRDefault="004B6D91" w:rsidP="007154F7">
            <w:pPr>
              <w:spacing w:after="0"/>
              <w:jc w:val="both"/>
              <w:rPr>
                <w:rFonts w:ascii="Verdana" w:hAnsi="Verdana" w:cs="Calibri"/>
                <w:b/>
                <w:bCs/>
                <w:sz w:val="20"/>
                <w:szCs w:val="20"/>
              </w:rPr>
            </w:pPr>
          </w:p>
        </w:tc>
        <w:tc>
          <w:tcPr>
            <w:tcW w:w="920" w:type="dxa"/>
            <w:vMerge/>
            <w:tcBorders>
              <w:top w:val="single" w:sz="4" w:space="0" w:color="auto"/>
              <w:left w:val="single" w:sz="4" w:space="0" w:color="auto"/>
              <w:bottom w:val="single" w:sz="4" w:space="0" w:color="000000"/>
              <w:right w:val="single" w:sz="4" w:space="0" w:color="auto"/>
            </w:tcBorders>
            <w:vAlign w:val="center"/>
            <w:hideMark/>
          </w:tcPr>
          <w:p w:rsidR="004B6D91" w:rsidRPr="007154F7" w:rsidRDefault="004B6D91" w:rsidP="007154F7">
            <w:pPr>
              <w:spacing w:after="0"/>
              <w:jc w:val="both"/>
              <w:rPr>
                <w:rFonts w:ascii="Verdana" w:hAnsi="Verdana" w:cs="Calibri"/>
                <w:b/>
                <w:bCs/>
                <w:sz w:val="20"/>
                <w:szCs w:val="20"/>
              </w:rPr>
            </w:pPr>
          </w:p>
        </w:tc>
      </w:tr>
      <w:tr w:rsidR="007154F7" w:rsidRPr="007154F7" w:rsidTr="007154F7">
        <w:trPr>
          <w:trHeight w:val="300"/>
        </w:trPr>
        <w:tc>
          <w:tcPr>
            <w:tcW w:w="2060" w:type="dxa"/>
            <w:tcBorders>
              <w:top w:val="nil"/>
              <w:left w:val="single" w:sz="4" w:space="0" w:color="auto"/>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1-DAŇOVÉ PŘÍJMY</w:t>
            </w:r>
          </w:p>
        </w:tc>
        <w:tc>
          <w:tcPr>
            <w:tcW w:w="1660"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388 805 846,39</w:t>
            </w:r>
          </w:p>
        </w:tc>
        <w:tc>
          <w:tcPr>
            <w:tcW w:w="1640"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336 723 599,00</w:t>
            </w:r>
          </w:p>
        </w:tc>
        <w:tc>
          <w:tcPr>
            <w:tcW w:w="1800"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385 658 145,86</w:t>
            </w:r>
          </w:p>
        </w:tc>
        <w:tc>
          <w:tcPr>
            <w:tcW w:w="860"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115,47</w:t>
            </w:r>
          </w:p>
        </w:tc>
        <w:tc>
          <w:tcPr>
            <w:tcW w:w="920"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100,82</w:t>
            </w:r>
          </w:p>
        </w:tc>
      </w:tr>
      <w:tr w:rsidR="007154F7" w:rsidRPr="007154F7" w:rsidTr="007154F7">
        <w:trPr>
          <w:trHeight w:val="300"/>
        </w:trPr>
        <w:tc>
          <w:tcPr>
            <w:tcW w:w="2060" w:type="dxa"/>
            <w:tcBorders>
              <w:top w:val="nil"/>
              <w:left w:val="single" w:sz="4" w:space="0" w:color="auto"/>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2-NEDAŇOVÉ PŘÍJMY</w:t>
            </w:r>
          </w:p>
        </w:tc>
        <w:tc>
          <w:tcPr>
            <w:tcW w:w="1660"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87 088 330,95</w:t>
            </w:r>
          </w:p>
        </w:tc>
        <w:tc>
          <w:tcPr>
            <w:tcW w:w="1640"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64 933 477,00</w:t>
            </w:r>
          </w:p>
        </w:tc>
        <w:tc>
          <w:tcPr>
            <w:tcW w:w="1800"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77 260 506,83</w:t>
            </w:r>
          </w:p>
        </w:tc>
        <w:tc>
          <w:tcPr>
            <w:tcW w:w="860"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134,12</w:t>
            </w:r>
          </w:p>
        </w:tc>
        <w:tc>
          <w:tcPr>
            <w:tcW w:w="920"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112,72</w:t>
            </w:r>
          </w:p>
        </w:tc>
      </w:tr>
      <w:tr w:rsidR="007154F7" w:rsidRPr="007154F7" w:rsidTr="007154F7">
        <w:trPr>
          <w:trHeight w:val="300"/>
        </w:trPr>
        <w:tc>
          <w:tcPr>
            <w:tcW w:w="2060" w:type="dxa"/>
            <w:tcBorders>
              <w:top w:val="nil"/>
              <w:left w:val="single" w:sz="4" w:space="0" w:color="auto"/>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3-KAPITÁLOVÉ PŘÍJMY</w:t>
            </w:r>
          </w:p>
        </w:tc>
        <w:tc>
          <w:tcPr>
            <w:tcW w:w="1660"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3 118 443,50</w:t>
            </w:r>
          </w:p>
        </w:tc>
        <w:tc>
          <w:tcPr>
            <w:tcW w:w="1640"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2 200 000,00</w:t>
            </w:r>
          </w:p>
        </w:tc>
        <w:tc>
          <w:tcPr>
            <w:tcW w:w="1800"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3 050 005,00</w:t>
            </w:r>
          </w:p>
        </w:tc>
        <w:tc>
          <w:tcPr>
            <w:tcW w:w="860"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141,75</w:t>
            </w:r>
          </w:p>
        </w:tc>
        <w:tc>
          <w:tcPr>
            <w:tcW w:w="920"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102,24</w:t>
            </w:r>
          </w:p>
        </w:tc>
      </w:tr>
      <w:tr w:rsidR="007154F7" w:rsidRPr="007154F7" w:rsidTr="007154F7">
        <w:trPr>
          <w:trHeight w:val="300"/>
        </w:trPr>
        <w:tc>
          <w:tcPr>
            <w:tcW w:w="2060" w:type="dxa"/>
            <w:tcBorders>
              <w:top w:val="nil"/>
              <w:left w:val="single" w:sz="4" w:space="0" w:color="auto"/>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4-PŘIJATÉ TRANSFERY</w:t>
            </w:r>
          </w:p>
        </w:tc>
        <w:tc>
          <w:tcPr>
            <w:tcW w:w="1660"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137 371 949,20</w:t>
            </w:r>
          </w:p>
        </w:tc>
        <w:tc>
          <w:tcPr>
            <w:tcW w:w="1640"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52 488 674,00</w:t>
            </w:r>
          </w:p>
        </w:tc>
        <w:tc>
          <w:tcPr>
            <w:tcW w:w="1800"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137 371 949,20</w:t>
            </w:r>
          </w:p>
        </w:tc>
        <w:tc>
          <w:tcPr>
            <w:tcW w:w="860"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261,72</w:t>
            </w:r>
          </w:p>
        </w:tc>
        <w:tc>
          <w:tcPr>
            <w:tcW w:w="920"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100,00</w:t>
            </w:r>
          </w:p>
        </w:tc>
      </w:tr>
      <w:tr w:rsidR="007154F7" w:rsidRPr="007154F7" w:rsidTr="007154F7">
        <w:trPr>
          <w:trHeight w:val="300"/>
        </w:trPr>
        <w:tc>
          <w:tcPr>
            <w:tcW w:w="2060" w:type="dxa"/>
            <w:tcBorders>
              <w:top w:val="nil"/>
              <w:left w:val="single" w:sz="4" w:space="0" w:color="auto"/>
              <w:bottom w:val="single" w:sz="4" w:space="0" w:color="auto"/>
              <w:right w:val="single" w:sz="4" w:space="0" w:color="auto"/>
            </w:tcBorders>
            <w:shd w:val="clear" w:color="auto" w:fill="DDD9C3"/>
            <w:noWrap/>
            <w:hideMark/>
          </w:tcPr>
          <w:p w:rsidR="004B6D91" w:rsidRPr="007154F7" w:rsidRDefault="004B6D91" w:rsidP="007154F7">
            <w:pPr>
              <w:spacing w:after="0"/>
              <w:jc w:val="both"/>
              <w:rPr>
                <w:rFonts w:ascii="Verdana" w:hAnsi="Verdana"/>
                <w:b/>
                <w:sz w:val="20"/>
                <w:szCs w:val="20"/>
              </w:rPr>
            </w:pPr>
            <w:r w:rsidRPr="007154F7">
              <w:rPr>
                <w:rFonts w:ascii="Verdana" w:hAnsi="Verdana"/>
                <w:b/>
                <w:sz w:val="20"/>
                <w:szCs w:val="20"/>
              </w:rPr>
              <w:t>CELKEM PŘÍJMY</w:t>
            </w:r>
          </w:p>
        </w:tc>
        <w:tc>
          <w:tcPr>
            <w:tcW w:w="1660" w:type="dxa"/>
            <w:tcBorders>
              <w:top w:val="nil"/>
              <w:left w:val="nil"/>
              <w:bottom w:val="single" w:sz="4" w:space="0" w:color="auto"/>
              <w:right w:val="single" w:sz="4" w:space="0" w:color="auto"/>
            </w:tcBorders>
            <w:shd w:val="clear" w:color="auto" w:fill="DDD9C3"/>
            <w:noWrap/>
            <w:hideMark/>
          </w:tcPr>
          <w:p w:rsidR="004B6D91" w:rsidRPr="007154F7" w:rsidRDefault="004B6D91" w:rsidP="007154F7">
            <w:pPr>
              <w:spacing w:after="0"/>
              <w:jc w:val="both"/>
              <w:rPr>
                <w:rFonts w:ascii="Verdana" w:hAnsi="Verdana"/>
                <w:b/>
                <w:sz w:val="20"/>
                <w:szCs w:val="20"/>
              </w:rPr>
            </w:pPr>
            <w:r w:rsidRPr="007154F7">
              <w:rPr>
                <w:rFonts w:ascii="Verdana" w:hAnsi="Verdana"/>
                <w:b/>
                <w:sz w:val="20"/>
                <w:szCs w:val="20"/>
              </w:rPr>
              <w:t>616 384 570,04</w:t>
            </w:r>
          </w:p>
        </w:tc>
        <w:tc>
          <w:tcPr>
            <w:tcW w:w="1640" w:type="dxa"/>
            <w:tcBorders>
              <w:top w:val="nil"/>
              <w:left w:val="nil"/>
              <w:bottom w:val="single" w:sz="4" w:space="0" w:color="auto"/>
              <w:right w:val="single" w:sz="4" w:space="0" w:color="auto"/>
            </w:tcBorders>
            <w:shd w:val="clear" w:color="auto" w:fill="DDD9C3"/>
            <w:noWrap/>
            <w:hideMark/>
          </w:tcPr>
          <w:p w:rsidR="004B6D91" w:rsidRPr="007154F7" w:rsidRDefault="004B6D91" w:rsidP="007154F7">
            <w:pPr>
              <w:spacing w:after="0"/>
              <w:jc w:val="both"/>
              <w:rPr>
                <w:rFonts w:ascii="Verdana" w:hAnsi="Verdana"/>
                <w:b/>
                <w:sz w:val="20"/>
                <w:szCs w:val="20"/>
              </w:rPr>
            </w:pPr>
            <w:r w:rsidRPr="007154F7">
              <w:rPr>
                <w:rFonts w:ascii="Verdana" w:hAnsi="Verdana"/>
                <w:b/>
                <w:sz w:val="20"/>
                <w:szCs w:val="20"/>
              </w:rPr>
              <w:t>456 345 750,00</w:t>
            </w:r>
          </w:p>
        </w:tc>
        <w:tc>
          <w:tcPr>
            <w:tcW w:w="1800" w:type="dxa"/>
            <w:tcBorders>
              <w:top w:val="nil"/>
              <w:left w:val="nil"/>
              <w:bottom w:val="single" w:sz="4" w:space="0" w:color="auto"/>
              <w:right w:val="single" w:sz="4" w:space="0" w:color="auto"/>
            </w:tcBorders>
            <w:shd w:val="clear" w:color="auto" w:fill="DDD9C3"/>
            <w:noWrap/>
            <w:hideMark/>
          </w:tcPr>
          <w:p w:rsidR="004B6D91" w:rsidRPr="007154F7" w:rsidRDefault="004B6D91" w:rsidP="007154F7">
            <w:pPr>
              <w:spacing w:after="0"/>
              <w:jc w:val="both"/>
              <w:rPr>
                <w:rFonts w:ascii="Verdana" w:hAnsi="Verdana"/>
                <w:b/>
                <w:sz w:val="20"/>
                <w:szCs w:val="20"/>
              </w:rPr>
            </w:pPr>
            <w:r w:rsidRPr="007154F7">
              <w:rPr>
                <w:rFonts w:ascii="Verdana" w:hAnsi="Verdana"/>
                <w:b/>
                <w:sz w:val="20"/>
                <w:szCs w:val="20"/>
              </w:rPr>
              <w:t>603 340 606,89</w:t>
            </w:r>
          </w:p>
        </w:tc>
        <w:tc>
          <w:tcPr>
            <w:tcW w:w="860" w:type="dxa"/>
            <w:tcBorders>
              <w:top w:val="nil"/>
              <w:left w:val="nil"/>
              <w:bottom w:val="single" w:sz="4" w:space="0" w:color="auto"/>
              <w:right w:val="single" w:sz="4" w:space="0" w:color="auto"/>
            </w:tcBorders>
            <w:shd w:val="clear" w:color="auto" w:fill="DDD9C3"/>
            <w:noWrap/>
            <w:hideMark/>
          </w:tcPr>
          <w:p w:rsidR="004B6D91" w:rsidRPr="007154F7" w:rsidRDefault="004B6D91" w:rsidP="007154F7">
            <w:pPr>
              <w:spacing w:after="0"/>
              <w:jc w:val="both"/>
              <w:rPr>
                <w:rFonts w:ascii="Verdana" w:hAnsi="Verdana"/>
                <w:b/>
                <w:sz w:val="20"/>
                <w:szCs w:val="20"/>
              </w:rPr>
            </w:pPr>
            <w:r w:rsidRPr="007154F7">
              <w:rPr>
                <w:rFonts w:ascii="Verdana" w:hAnsi="Verdana"/>
                <w:b/>
                <w:sz w:val="20"/>
                <w:szCs w:val="20"/>
              </w:rPr>
              <w:t>135,07</w:t>
            </w:r>
          </w:p>
        </w:tc>
        <w:tc>
          <w:tcPr>
            <w:tcW w:w="920" w:type="dxa"/>
            <w:tcBorders>
              <w:top w:val="nil"/>
              <w:left w:val="nil"/>
              <w:bottom w:val="single" w:sz="4" w:space="0" w:color="auto"/>
              <w:right w:val="single" w:sz="4" w:space="0" w:color="auto"/>
            </w:tcBorders>
            <w:shd w:val="clear" w:color="auto" w:fill="DDD9C3"/>
            <w:noWrap/>
            <w:hideMark/>
          </w:tcPr>
          <w:p w:rsidR="004B6D91" w:rsidRPr="007154F7" w:rsidRDefault="004B6D91" w:rsidP="007154F7">
            <w:pPr>
              <w:spacing w:after="0"/>
              <w:jc w:val="both"/>
              <w:rPr>
                <w:rFonts w:ascii="Verdana" w:hAnsi="Verdana"/>
                <w:b/>
                <w:sz w:val="20"/>
                <w:szCs w:val="20"/>
              </w:rPr>
            </w:pPr>
            <w:r w:rsidRPr="007154F7">
              <w:rPr>
                <w:rFonts w:ascii="Verdana" w:hAnsi="Verdana"/>
                <w:b/>
                <w:sz w:val="20"/>
                <w:szCs w:val="20"/>
              </w:rPr>
              <w:t>102,16</w:t>
            </w:r>
          </w:p>
        </w:tc>
      </w:tr>
    </w:tbl>
    <w:p w:rsidR="004B6D91" w:rsidRPr="007154F7" w:rsidRDefault="004B6D91" w:rsidP="007154F7">
      <w:pPr>
        <w:spacing w:after="0"/>
        <w:jc w:val="both"/>
        <w:rPr>
          <w:rFonts w:ascii="Verdana" w:hAnsi="Verdana"/>
          <w:sz w:val="20"/>
          <w:szCs w:val="20"/>
        </w:rPr>
      </w:pPr>
    </w:p>
    <w:p w:rsidR="004B6D91" w:rsidRPr="007154F7" w:rsidRDefault="004B6D91" w:rsidP="007154F7">
      <w:pPr>
        <w:spacing w:after="0"/>
        <w:jc w:val="both"/>
        <w:rPr>
          <w:rFonts w:ascii="Verdana" w:hAnsi="Verdana"/>
          <w:b/>
          <w:sz w:val="20"/>
          <w:szCs w:val="20"/>
        </w:rPr>
      </w:pPr>
      <w:r w:rsidRPr="007154F7">
        <w:rPr>
          <w:rFonts w:ascii="Verdana" w:hAnsi="Verdana"/>
          <w:b/>
          <w:sz w:val="20"/>
          <w:szCs w:val="20"/>
        </w:rPr>
        <w:t>Výdaje v Kč:</w:t>
      </w:r>
    </w:p>
    <w:p w:rsidR="004B6D91" w:rsidRPr="007154F7" w:rsidRDefault="004B6D91" w:rsidP="007154F7">
      <w:pPr>
        <w:spacing w:after="0"/>
        <w:jc w:val="both"/>
        <w:rPr>
          <w:rFonts w:ascii="Verdana" w:hAnsi="Verdana"/>
          <w:b/>
          <w:sz w:val="20"/>
          <w:szCs w:val="20"/>
        </w:rPr>
      </w:pPr>
    </w:p>
    <w:tbl>
      <w:tblPr>
        <w:tblW w:w="9540" w:type="dxa"/>
        <w:tblInd w:w="55" w:type="dxa"/>
        <w:tblCellMar>
          <w:left w:w="70" w:type="dxa"/>
          <w:right w:w="70" w:type="dxa"/>
        </w:tblCellMar>
        <w:tblLook w:val="04A0" w:firstRow="1" w:lastRow="0" w:firstColumn="1" w:lastColumn="0" w:noHBand="0" w:noVBand="1"/>
      </w:tblPr>
      <w:tblGrid>
        <w:gridCol w:w="2360"/>
        <w:gridCol w:w="1960"/>
        <w:gridCol w:w="1840"/>
        <w:gridCol w:w="1800"/>
        <w:gridCol w:w="924"/>
        <w:gridCol w:w="782"/>
      </w:tblGrid>
      <w:tr w:rsidR="007154F7" w:rsidRPr="007154F7" w:rsidTr="007154F7">
        <w:trPr>
          <w:trHeight w:val="300"/>
        </w:trPr>
        <w:tc>
          <w:tcPr>
            <w:tcW w:w="2360" w:type="dxa"/>
            <w:vMerge w:val="restart"/>
            <w:tcBorders>
              <w:top w:val="single" w:sz="4" w:space="0" w:color="auto"/>
              <w:left w:val="single" w:sz="4" w:space="0" w:color="auto"/>
              <w:bottom w:val="single" w:sz="4" w:space="0" w:color="auto"/>
              <w:right w:val="single" w:sz="4" w:space="0" w:color="auto"/>
            </w:tcBorders>
            <w:shd w:val="clear" w:color="000000" w:fill="DDD9C4"/>
            <w:noWrap/>
            <w:vAlign w:val="center"/>
            <w:hideMark/>
          </w:tcPr>
          <w:p w:rsidR="004B6D91" w:rsidRPr="007154F7" w:rsidRDefault="004B6D91" w:rsidP="007154F7">
            <w:pPr>
              <w:spacing w:after="0"/>
              <w:jc w:val="both"/>
              <w:rPr>
                <w:rFonts w:ascii="Verdana" w:hAnsi="Verdana" w:cs="Calibri"/>
                <w:b/>
                <w:bCs/>
                <w:sz w:val="20"/>
                <w:szCs w:val="20"/>
              </w:rPr>
            </w:pPr>
            <w:r w:rsidRPr="007154F7">
              <w:rPr>
                <w:rFonts w:ascii="Verdana" w:hAnsi="Verdana" w:cs="Calibri"/>
                <w:b/>
                <w:bCs/>
                <w:sz w:val="20"/>
                <w:szCs w:val="20"/>
              </w:rPr>
              <w:t>Třída</w:t>
            </w:r>
          </w:p>
        </w:tc>
        <w:tc>
          <w:tcPr>
            <w:tcW w:w="1960" w:type="dxa"/>
            <w:vMerge w:val="restart"/>
            <w:tcBorders>
              <w:top w:val="single" w:sz="4" w:space="0" w:color="auto"/>
              <w:left w:val="single" w:sz="4" w:space="0" w:color="auto"/>
              <w:bottom w:val="single" w:sz="4" w:space="0" w:color="auto"/>
              <w:right w:val="single" w:sz="4" w:space="0" w:color="auto"/>
            </w:tcBorders>
            <w:shd w:val="clear" w:color="000000" w:fill="DDD9C4"/>
            <w:noWrap/>
            <w:vAlign w:val="center"/>
            <w:hideMark/>
          </w:tcPr>
          <w:p w:rsidR="004B6D91" w:rsidRPr="007154F7" w:rsidRDefault="004B6D91" w:rsidP="007154F7">
            <w:pPr>
              <w:spacing w:after="0"/>
              <w:jc w:val="both"/>
              <w:rPr>
                <w:rFonts w:ascii="Verdana" w:hAnsi="Verdana" w:cs="Calibri"/>
                <w:b/>
                <w:bCs/>
                <w:sz w:val="20"/>
                <w:szCs w:val="20"/>
              </w:rPr>
            </w:pPr>
            <w:r w:rsidRPr="007154F7">
              <w:rPr>
                <w:rFonts w:ascii="Verdana" w:hAnsi="Verdana" w:cs="Calibri"/>
                <w:b/>
                <w:bCs/>
                <w:sz w:val="20"/>
                <w:szCs w:val="20"/>
              </w:rPr>
              <w:t>Skutečnost</w:t>
            </w:r>
          </w:p>
        </w:tc>
        <w:tc>
          <w:tcPr>
            <w:tcW w:w="1840" w:type="dxa"/>
            <w:tcBorders>
              <w:top w:val="single" w:sz="4" w:space="0" w:color="auto"/>
              <w:left w:val="nil"/>
              <w:bottom w:val="nil"/>
              <w:right w:val="single" w:sz="4" w:space="0" w:color="auto"/>
            </w:tcBorders>
            <w:shd w:val="clear" w:color="000000" w:fill="DDD9C4"/>
            <w:noWrap/>
            <w:vAlign w:val="bottom"/>
            <w:hideMark/>
          </w:tcPr>
          <w:p w:rsidR="004B6D91" w:rsidRPr="007154F7" w:rsidRDefault="004B6D91" w:rsidP="007154F7">
            <w:pPr>
              <w:spacing w:after="0"/>
              <w:jc w:val="both"/>
              <w:rPr>
                <w:rFonts w:ascii="Verdana" w:hAnsi="Verdana" w:cs="Calibri"/>
                <w:b/>
                <w:bCs/>
                <w:sz w:val="20"/>
                <w:szCs w:val="20"/>
              </w:rPr>
            </w:pPr>
            <w:r w:rsidRPr="007154F7">
              <w:rPr>
                <w:rFonts w:ascii="Verdana" w:hAnsi="Verdana" w:cs="Calibri"/>
                <w:b/>
                <w:bCs/>
                <w:sz w:val="20"/>
                <w:szCs w:val="20"/>
              </w:rPr>
              <w:t>Rozpočet</w:t>
            </w:r>
          </w:p>
        </w:tc>
        <w:tc>
          <w:tcPr>
            <w:tcW w:w="1800" w:type="dxa"/>
            <w:tcBorders>
              <w:top w:val="single" w:sz="4" w:space="0" w:color="auto"/>
              <w:left w:val="nil"/>
              <w:bottom w:val="nil"/>
              <w:right w:val="single" w:sz="4" w:space="0" w:color="auto"/>
            </w:tcBorders>
            <w:shd w:val="clear" w:color="000000" w:fill="DDD9C4"/>
            <w:noWrap/>
            <w:vAlign w:val="bottom"/>
            <w:hideMark/>
          </w:tcPr>
          <w:p w:rsidR="004B6D91" w:rsidRPr="007154F7" w:rsidRDefault="004B6D91" w:rsidP="007154F7">
            <w:pPr>
              <w:spacing w:after="0"/>
              <w:jc w:val="both"/>
              <w:rPr>
                <w:rFonts w:ascii="Verdana" w:hAnsi="Verdana" w:cs="Calibri"/>
                <w:b/>
                <w:bCs/>
                <w:sz w:val="20"/>
                <w:szCs w:val="20"/>
              </w:rPr>
            </w:pPr>
            <w:r w:rsidRPr="007154F7">
              <w:rPr>
                <w:rFonts w:ascii="Verdana" w:hAnsi="Verdana" w:cs="Calibri"/>
                <w:b/>
                <w:bCs/>
                <w:sz w:val="20"/>
                <w:szCs w:val="20"/>
              </w:rPr>
              <w:t>Rozpočet</w:t>
            </w:r>
          </w:p>
        </w:tc>
        <w:tc>
          <w:tcPr>
            <w:tcW w:w="860" w:type="dxa"/>
            <w:vMerge w:val="restart"/>
            <w:tcBorders>
              <w:top w:val="single" w:sz="4" w:space="0" w:color="auto"/>
              <w:left w:val="single" w:sz="4" w:space="0" w:color="auto"/>
              <w:bottom w:val="single" w:sz="4" w:space="0" w:color="auto"/>
              <w:right w:val="single" w:sz="4" w:space="0" w:color="auto"/>
            </w:tcBorders>
            <w:shd w:val="clear" w:color="000000" w:fill="DDD9C4"/>
            <w:noWrap/>
            <w:vAlign w:val="center"/>
            <w:hideMark/>
          </w:tcPr>
          <w:p w:rsidR="004B6D91" w:rsidRPr="007154F7" w:rsidRDefault="004B6D91" w:rsidP="007154F7">
            <w:pPr>
              <w:spacing w:after="0"/>
              <w:jc w:val="both"/>
              <w:rPr>
                <w:rFonts w:ascii="Verdana" w:hAnsi="Verdana" w:cs="Calibri"/>
                <w:b/>
                <w:bCs/>
                <w:sz w:val="20"/>
                <w:szCs w:val="20"/>
              </w:rPr>
            </w:pPr>
            <w:r w:rsidRPr="007154F7">
              <w:rPr>
                <w:rFonts w:ascii="Verdana" w:hAnsi="Verdana" w:cs="Calibri"/>
                <w:b/>
                <w:bCs/>
                <w:sz w:val="20"/>
                <w:szCs w:val="20"/>
              </w:rPr>
              <w:t>% SR</w:t>
            </w:r>
          </w:p>
        </w:tc>
        <w:tc>
          <w:tcPr>
            <w:tcW w:w="720" w:type="dxa"/>
            <w:vMerge w:val="restart"/>
            <w:tcBorders>
              <w:top w:val="single" w:sz="4" w:space="0" w:color="auto"/>
              <w:left w:val="single" w:sz="4" w:space="0" w:color="auto"/>
              <w:bottom w:val="single" w:sz="4" w:space="0" w:color="auto"/>
              <w:right w:val="single" w:sz="4" w:space="0" w:color="auto"/>
            </w:tcBorders>
            <w:shd w:val="clear" w:color="000000" w:fill="DDD9C4"/>
            <w:noWrap/>
            <w:vAlign w:val="center"/>
            <w:hideMark/>
          </w:tcPr>
          <w:p w:rsidR="004B6D91" w:rsidRPr="007154F7" w:rsidRDefault="004B6D91" w:rsidP="007154F7">
            <w:pPr>
              <w:spacing w:after="0"/>
              <w:jc w:val="both"/>
              <w:rPr>
                <w:rFonts w:ascii="Verdana" w:hAnsi="Verdana" w:cs="Calibri"/>
                <w:b/>
                <w:bCs/>
                <w:sz w:val="20"/>
                <w:szCs w:val="20"/>
              </w:rPr>
            </w:pPr>
            <w:r w:rsidRPr="007154F7">
              <w:rPr>
                <w:rFonts w:ascii="Verdana" w:hAnsi="Verdana" w:cs="Calibri"/>
                <w:b/>
                <w:bCs/>
                <w:sz w:val="20"/>
                <w:szCs w:val="20"/>
              </w:rPr>
              <w:t>% UR</w:t>
            </w:r>
          </w:p>
        </w:tc>
      </w:tr>
      <w:tr w:rsidR="007154F7" w:rsidRPr="007154F7" w:rsidTr="007154F7">
        <w:trPr>
          <w:trHeight w:val="300"/>
        </w:trPr>
        <w:tc>
          <w:tcPr>
            <w:tcW w:w="2360" w:type="dxa"/>
            <w:vMerge/>
            <w:tcBorders>
              <w:top w:val="single" w:sz="4" w:space="0" w:color="auto"/>
              <w:left w:val="single" w:sz="4" w:space="0" w:color="auto"/>
              <w:bottom w:val="single" w:sz="4" w:space="0" w:color="auto"/>
              <w:right w:val="single" w:sz="4" w:space="0" w:color="auto"/>
            </w:tcBorders>
            <w:vAlign w:val="center"/>
            <w:hideMark/>
          </w:tcPr>
          <w:p w:rsidR="004B6D91" w:rsidRPr="007154F7" w:rsidRDefault="004B6D91" w:rsidP="007154F7">
            <w:pPr>
              <w:spacing w:after="0"/>
              <w:jc w:val="both"/>
              <w:rPr>
                <w:rFonts w:ascii="Verdana" w:hAnsi="Verdana" w:cs="Calibri"/>
                <w:b/>
                <w:bCs/>
                <w:sz w:val="20"/>
                <w:szCs w:val="20"/>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rsidR="004B6D91" w:rsidRPr="007154F7" w:rsidRDefault="004B6D91" w:rsidP="007154F7">
            <w:pPr>
              <w:spacing w:after="0"/>
              <w:jc w:val="both"/>
              <w:rPr>
                <w:rFonts w:ascii="Verdana" w:hAnsi="Verdana" w:cs="Calibri"/>
                <w:b/>
                <w:bCs/>
                <w:sz w:val="20"/>
                <w:szCs w:val="20"/>
              </w:rPr>
            </w:pPr>
          </w:p>
        </w:tc>
        <w:tc>
          <w:tcPr>
            <w:tcW w:w="1840" w:type="dxa"/>
            <w:tcBorders>
              <w:top w:val="nil"/>
              <w:left w:val="nil"/>
              <w:bottom w:val="single" w:sz="4" w:space="0" w:color="auto"/>
              <w:right w:val="single" w:sz="4" w:space="0" w:color="auto"/>
            </w:tcBorders>
            <w:shd w:val="clear" w:color="000000" w:fill="DDD9C4"/>
            <w:noWrap/>
            <w:vAlign w:val="bottom"/>
            <w:hideMark/>
          </w:tcPr>
          <w:p w:rsidR="004B6D91" w:rsidRPr="007154F7" w:rsidRDefault="004B6D91" w:rsidP="007154F7">
            <w:pPr>
              <w:spacing w:after="0"/>
              <w:jc w:val="both"/>
              <w:rPr>
                <w:rFonts w:ascii="Verdana" w:hAnsi="Verdana" w:cs="Calibri"/>
                <w:b/>
                <w:bCs/>
                <w:sz w:val="20"/>
                <w:szCs w:val="20"/>
              </w:rPr>
            </w:pPr>
            <w:r w:rsidRPr="007154F7">
              <w:rPr>
                <w:rFonts w:ascii="Verdana" w:hAnsi="Verdana" w:cs="Calibri"/>
                <w:b/>
                <w:bCs/>
                <w:sz w:val="20"/>
                <w:szCs w:val="20"/>
              </w:rPr>
              <w:t>schválený</w:t>
            </w:r>
          </w:p>
        </w:tc>
        <w:tc>
          <w:tcPr>
            <w:tcW w:w="1800" w:type="dxa"/>
            <w:tcBorders>
              <w:top w:val="nil"/>
              <w:left w:val="nil"/>
              <w:bottom w:val="single" w:sz="4" w:space="0" w:color="auto"/>
              <w:right w:val="single" w:sz="4" w:space="0" w:color="auto"/>
            </w:tcBorders>
            <w:shd w:val="clear" w:color="000000" w:fill="DDD9C4"/>
            <w:noWrap/>
            <w:vAlign w:val="bottom"/>
            <w:hideMark/>
          </w:tcPr>
          <w:p w:rsidR="004B6D91" w:rsidRPr="007154F7" w:rsidRDefault="004B6D91" w:rsidP="007154F7">
            <w:pPr>
              <w:spacing w:after="0"/>
              <w:jc w:val="both"/>
              <w:rPr>
                <w:rFonts w:ascii="Verdana" w:hAnsi="Verdana" w:cs="Calibri"/>
                <w:b/>
                <w:bCs/>
                <w:sz w:val="20"/>
                <w:szCs w:val="20"/>
              </w:rPr>
            </w:pPr>
            <w:r w:rsidRPr="007154F7">
              <w:rPr>
                <w:rFonts w:ascii="Verdana" w:hAnsi="Verdana" w:cs="Calibri"/>
                <w:b/>
                <w:bCs/>
                <w:sz w:val="20"/>
                <w:szCs w:val="20"/>
              </w:rPr>
              <w:t>po změnách</w:t>
            </w: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4B6D91" w:rsidRPr="007154F7" w:rsidRDefault="004B6D91" w:rsidP="007154F7">
            <w:pPr>
              <w:spacing w:after="0"/>
              <w:jc w:val="both"/>
              <w:rPr>
                <w:rFonts w:ascii="Verdana" w:hAnsi="Verdana" w:cs="Calibri"/>
                <w:b/>
                <w:bCs/>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4B6D91" w:rsidRPr="007154F7" w:rsidRDefault="004B6D91" w:rsidP="007154F7">
            <w:pPr>
              <w:spacing w:after="0"/>
              <w:jc w:val="both"/>
              <w:rPr>
                <w:rFonts w:ascii="Verdana" w:hAnsi="Verdana" w:cs="Calibri"/>
                <w:b/>
                <w:bCs/>
                <w:sz w:val="20"/>
                <w:szCs w:val="20"/>
              </w:rPr>
            </w:pPr>
          </w:p>
        </w:tc>
      </w:tr>
      <w:tr w:rsidR="007154F7" w:rsidRPr="007154F7" w:rsidTr="007154F7">
        <w:trPr>
          <w:trHeight w:val="300"/>
        </w:trPr>
        <w:tc>
          <w:tcPr>
            <w:tcW w:w="2360" w:type="dxa"/>
            <w:tcBorders>
              <w:top w:val="nil"/>
              <w:left w:val="single" w:sz="4" w:space="0" w:color="auto"/>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5-BĚŽNÉ VÝDAJE</w:t>
            </w:r>
          </w:p>
        </w:tc>
        <w:tc>
          <w:tcPr>
            <w:tcW w:w="1960"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425 310 546,16</w:t>
            </w:r>
          </w:p>
        </w:tc>
        <w:tc>
          <w:tcPr>
            <w:tcW w:w="1840"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390 786 042,00</w:t>
            </w:r>
          </w:p>
        </w:tc>
        <w:tc>
          <w:tcPr>
            <w:tcW w:w="1800"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440 992 317,58</w:t>
            </w:r>
          </w:p>
        </w:tc>
        <w:tc>
          <w:tcPr>
            <w:tcW w:w="860"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108,83</w:t>
            </w:r>
          </w:p>
        </w:tc>
        <w:tc>
          <w:tcPr>
            <w:tcW w:w="720"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96,44</w:t>
            </w:r>
          </w:p>
        </w:tc>
      </w:tr>
      <w:tr w:rsidR="007154F7" w:rsidRPr="007154F7" w:rsidTr="007154F7">
        <w:trPr>
          <w:trHeight w:val="300"/>
        </w:trPr>
        <w:tc>
          <w:tcPr>
            <w:tcW w:w="2360" w:type="dxa"/>
            <w:tcBorders>
              <w:top w:val="nil"/>
              <w:left w:val="single" w:sz="4" w:space="0" w:color="auto"/>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6-KAPITÁLOVÉ VÝDAJE</w:t>
            </w:r>
          </w:p>
        </w:tc>
        <w:tc>
          <w:tcPr>
            <w:tcW w:w="1960"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185 035 056,47</w:t>
            </w:r>
          </w:p>
        </w:tc>
        <w:tc>
          <w:tcPr>
            <w:tcW w:w="1840"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153 163 708,00</w:t>
            </w:r>
          </w:p>
        </w:tc>
        <w:tc>
          <w:tcPr>
            <w:tcW w:w="1800"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216 882 892,00</w:t>
            </w:r>
          </w:p>
        </w:tc>
        <w:tc>
          <w:tcPr>
            <w:tcW w:w="860"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120,81</w:t>
            </w:r>
          </w:p>
        </w:tc>
        <w:tc>
          <w:tcPr>
            <w:tcW w:w="720"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85,32</w:t>
            </w:r>
          </w:p>
        </w:tc>
      </w:tr>
      <w:tr w:rsidR="007154F7" w:rsidRPr="007154F7" w:rsidTr="007154F7">
        <w:trPr>
          <w:trHeight w:val="300"/>
        </w:trPr>
        <w:tc>
          <w:tcPr>
            <w:tcW w:w="2360" w:type="dxa"/>
            <w:tcBorders>
              <w:top w:val="nil"/>
              <w:left w:val="single" w:sz="4" w:space="0" w:color="auto"/>
              <w:bottom w:val="single" w:sz="4" w:space="0" w:color="auto"/>
              <w:right w:val="single" w:sz="4" w:space="0" w:color="auto"/>
            </w:tcBorders>
            <w:shd w:val="clear" w:color="000000" w:fill="EEECE1"/>
            <w:noWrap/>
            <w:hideMark/>
          </w:tcPr>
          <w:p w:rsidR="004B6D91" w:rsidRPr="007154F7" w:rsidRDefault="004B6D91" w:rsidP="007154F7">
            <w:pPr>
              <w:spacing w:after="0"/>
              <w:jc w:val="both"/>
              <w:rPr>
                <w:rFonts w:ascii="Verdana" w:hAnsi="Verdana"/>
                <w:b/>
                <w:sz w:val="20"/>
                <w:szCs w:val="20"/>
              </w:rPr>
            </w:pPr>
            <w:r w:rsidRPr="007154F7">
              <w:rPr>
                <w:rFonts w:ascii="Verdana" w:hAnsi="Verdana"/>
                <w:b/>
                <w:sz w:val="20"/>
                <w:szCs w:val="20"/>
              </w:rPr>
              <w:t>CELKEM VÝDAJE</w:t>
            </w:r>
          </w:p>
        </w:tc>
        <w:tc>
          <w:tcPr>
            <w:tcW w:w="1960" w:type="dxa"/>
            <w:tcBorders>
              <w:top w:val="nil"/>
              <w:left w:val="nil"/>
              <w:bottom w:val="single" w:sz="4" w:space="0" w:color="auto"/>
              <w:right w:val="single" w:sz="4" w:space="0" w:color="auto"/>
            </w:tcBorders>
            <w:shd w:val="clear" w:color="000000" w:fill="EEECE1"/>
            <w:noWrap/>
            <w:hideMark/>
          </w:tcPr>
          <w:p w:rsidR="004B6D91" w:rsidRPr="007154F7" w:rsidRDefault="004B6D91" w:rsidP="007154F7">
            <w:pPr>
              <w:spacing w:after="0"/>
              <w:jc w:val="both"/>
              <w:rPr>
                <w:rFonts w:ascii="Verdana" w:hAnsi="Verdana"/>
                <w:b/>
                <w:sz w:val="20"/>
                <w:szCs w:val="20"/>
              </w:rPr>
            </w:pPr>
            <w:r w:rsidRPr="007154F7">
              <w:rPr>
                <w:rFonts w:ascii="Verdana" w:hAnsi="Verdana"/>
                <w:b/>
                <w:sz w:val="20"/>
                <w:szCs w:val="20"/>
              </w:rPr>
              <w:t>610 345 602,63</w:t>
            </w:r>
          </w:p>
        </w:tc>
        <w:tc>
          <w:tcPr>
            <w:tcW w:w="1840" w:type="dxa"/>
            <w:tcBorders>
              <w:top w:val="nil"/>
              <w:left w:val="nil"/>
              <w:bottom w:val="single" w:sz="4" w:space="0" w:color="auto"/>
              <w:right w:val="single" w:sz="4" w:space="0" w:color="auto"/>
            </w:tcBorders>
            <w:shd w:val="clear" w:color="000000" w:fill="EEECE1"/>
            <w:noWrap/>
            <w:hideMark/>
          </w:tcPr>
          <w:p w:rsidR="004B6D91" w:rsidRPr="007154F7" w:rsidRDefault="004B6D91" w:rsidP="007154F7">
            <w:pPr>
              <w:spacing w:after="0"/>
              <w:jc w:val="both"/>
              <w:rPr>
                <w:rFonts w:ascii="Verdana" w:hAnsi="Verdana"/>
                <w:b/>
                <w:sz w:val="20"/>
                <w:szCs w:val="20"/>
              </w:rPr>
            </w:pPr>
            <w:r w:rsidRPr="007154F7">
              <w:rPr>
                <w:rFonts w:ascii="Verdana" w:hAnsi="Verdana"/>
                <w:b/>
                <w:sz w:val="20"/>
                <w:szCs w:val="20"/>
              </w:rPr>
              <w:t>543 949 750,00</w:t>
            </w:r>
          </w:p>
        </w:tc>
        <w:tc>
          <w:tcPr>
            <w:tcW w:w="1800" w:type="dxa"/>
            <w:tcBorders>
              <w:top w:val="nil"/>
              <w:left w:val="nil"/>
              <w:bottom w:val="single" w:sz="4" w:space="0" w:color="auto"/>
              <w:right w:val="single" w:sz="4" w:space="0" w:color="auto"/>
            </w:tcBorders>
            <w:shd w:val="clear" w:color="000000" w:fill="EEECE1"/>
            <w:noWrap/>
            <w:hideMark/>
          </w:tcPr>
          <w:p w:rsidR="004B6D91" w:rsidRPr="007154F7" w:rsidRDefault="004B6D91" w:rsidP="007154F7">
            <w:pPr>
              <w:spacing w:after="0"/>
              <w:jc w:val="both"/>
              <w:rPr>
                <w:rFonts w:ascii="Verdana" w:hAnsi="Verdana"/>
                <w:b/>
                <w:sz w:val="20"/>
                <w:szCs w:val="20"/>
              </w:rPr>
            </w:pPr>
            <w:r w:rsidRPr="007154F7">
              <w:rPr>
                <w:rFonts w:ascii="Verdana" w:hAnsi="Verdana"/>
                <w:b/>
                <w:sz w:val="20"/>
                <w:szCs w:val="20"/>
              </w:rPr>
              <w:t>657 875 209,58</w:t>
            </w:r>
          </w:p>
        </w:tc>
        <w:tc>
          <w:tcPr>
            <w:tcW w:w="860" w:type="dxa"/>
            <w:tcBorders>
              <w:top w:val="nil"/>
              <w:left w:val="nil"/>
              <w:bottom w:val="single" w:sz="4" w:space="0" w:color="auto"/>
              <w:right w:val="single" w:sz="4" w:space="0" w:color="auto"/>
            </w:tcBorders>
            <w:shd w:val="clear" w:color="000000" w:fill="EEECE1"/>
            <w:noWrap/>
            <w:hideMark/>
          </w:tcPr>
          <w:p w:rsidR="004B6D91" w:rsidRPr="007154F7" w:rsidRDefault="004B6D91" w:rsidP="007154F7">
            <w:pPr>
              <w:spacing w:after="0"/>
              <w:jc w:val="both"/>
              <w:rPr>
                <w:rFonts w:ascii="Verdana" w:hAnsi="Verdana"/>
                <w:b/>
                <w:sz w:val="20"/>
                <w:szCs w:val="20"/>
              </w:rPr>
            </w:pPr>
            <w:r w:rsidRPr="007154F7">
              <w:rPr>
                <w:rFonts w:ascii="Verdana" w:hAnsi="Verdana"/>
                <w:b/>
                <w:sz w:val="20"/>
                <w:szCs w:val="20"/>
              </w:rPr>
              <w:t>112,21</w:t>
            </w:r>
          </w:p>
        </w:tc>
        <w:tc>
          <w:tcPr>
            <w:tcW w:w="720" w:type="dxa"/>
            <w:tcBorders>
              <w:top w:val="nil"/>
              <w:left w:val="nil"/>
              <w:bottom w:val="single" w:sz="4" w:space="0" w:color="auto"/>
              <w:right w:val="single" w:sz="4" w:space="0" w:color="auto"/>
            </w:tcBorders>
            <w:shd w:val="clear" w:color="000000" w:fill="EEECE1"/>
            <w:noWrap/>
            <w:hideMark/>
          </w:tcPr>
          <w:p w:rsidR="004B6D91" w:rsidRPr="007154F7" w:rsidRDefault="004B6D91" w:rsidP="007154F7">
            <w:pPr>
              <w:spacing w:after="0"/>
              <w:jc w:val="both"/>
              <w:rPr>
                <w:rFonts w:ascii="Verdana" w:hAnsi="Verdana"/>
                <w:b/>
                <w:sz w:val="20"/>
                <w:szCs w:val="20"/>
              </w:rPr>
            </w:pPr>
            <w:r w:rsidRPr="007154F7">
              <w:rPr>
                <w:rFonts w:ascii="Verdana" w:hAnsi="Verdana"/>
                <w:b/>
                <w:sz w:val="20"/>
                <w:szCs w:val="20"/>
              </w:rPr>
              <w:t>92,78</w:t>
            </w:r>
          </w:p>
        </w:tc>
      </w:tr>
    </w:tbl>
    <w:p w:rsidR="004B6D91" w:rsidRPr="007154F7" w:rsidRDefault="004B6D91" w:rsidP="007154F7">
      <w:pPr>
        <w:spacing w:after="0"/>
        <w:jc w:val="both"/>
        <w:rPr>
          <w:rFonts w:ascii="Verdana" w:hAnsi="Verdana"/>
          <w:b/>
          <w:sz w:val="20"/>
          <w:szCs w:val="20"/>
        </w:rPr>
      </w:pPr>
    </w:p>
    <w:p w:rsidR="004B6D91" w:rsidRPr="007154F7" w:rsidRDefault="004B6D91" w:rsidP="007154F7">
      <w:pPr>
        <w:pStyle w:val="Odstavecseseznamem"/>
        <w:spacing w:line="276" w:lineRule="auto"/>
        <w:ind w:left="0"/>
        <w:contextualSpacing w:val="0"/>
        <w:jc w:val="both"/>
        <w:rPr>
          <w:rFonts w:ascii="Verdana" w:hAnsi="Verdana"/>
          <w:sz w:val="20"/>
          <w:szCs w:val="20"/>
        </w:rPr>
      </w:pPr>
    </w:p>
    <w:p w:rsidR="004B6D91" w:rsidRPr="007154F7" w:rsidRDefault="004B6D91" w:rsidP="007154F7">
      <w:pPr>
        <w:pStyle w:val="Odstavecseseznamem"/>
        <w:spacing w:line="276" w:lineRule="auto"/>
        <w:ind w:left="0"/>
        <w:contextualSpacing w:val="0"/>
        <w:jc w:val="both"/>
        <w:rPr>
          <w:rFonts w:ascii="Verdana" w:hAnsi="Verdana"/>
          <w:sz w:val="20"/>
          <w:szCs w:val="20"/>
        </w:rPr>
      </w:pPr>
    </w:p>
    <w:p w:rsidR="004B6D91" w:rsidRPr="007154F7" w:rsidRDefault="004B6D91" w:rsidP="007154F7">
      <w:pPr>
        <w:pStyle w:val="Odstavecseseznamem"/>
        <w:spacing w:line="276" w:lineRule="auto"/>
        <w:ind w:left="0"/>
        <w:contextualSpacing w:val="0"/>
        <w:jc w:val="both"/>
        <w:rPr>
          <w:rFonts w:ascii="Verdana" w:hAnsi="Verdana"/>
          <w:sz w:val="20"/>
          <w:szCs w:val="20"/>
        </w:rPr>
      </w:pPr>
    </w:p>
    <w:p w:rsidR="004B6D91" w:rsidRPr="007154F7" w:rsidRDefault="004B6D91" w:rsidP="007154F7">
      <w:pPr>
        <w:pStyle w:val="Odstavecseseznamem"/>
        <w:spacing w:line="276" w:lineRule="auto"/>
        <w:ind w:left="0"/>
        <w:contextualSpacing w:val="0"/>
        <w:jc w:val="both"/>
        <w:rPr>
          <w:rFonts w:ascii="Verdana" w:hAnsi="Verdana"/>
          <w:sz w:val="20"/>
          <w:szCs w:val="20"/>
        </w:rPr>
      </w:pPr>
    </w:p>
    <w:p w:rsidR="004B6D91" w:rsidRPr="007154F7" w:rsidRDefault="004B6D91" w:rsidP="007154F7">
      <w:pPr>
        <w:pStyle w:val="Odstavecseseznamem"/>
        <w:spacing w:line="276" w:lineRule="auto"/>
        <w:ind w:left="0"/>
        <w:contextualSpacing w:val="0"/>
        <w:jc w:val="both"/>
        <w:rPr>
          <w:rFonts w:ascii="Verdana" w:hAnsi="Verdana"/>
          <w:sz w:val="20"/>
          <w:szCs w:val="20"/>
        </w:rPr>
      </w:pPr>
      <w:r w:rsidRPr="007154F7">
        <w:rPr>
          <w:rFonts w:ascii="Verdana" w:hAnsi="Verdana"/>
          <w:sz w:val="20"/>
          <w:szCs w:val="20"/>
        </w:rPr>
        <w:t>Rozpis jednotlivých investičních akcí s nejvyšším zůstatkem:</w:t>
      </w:r>
    </w:p>
    <w:tbl>
      <w:tblPr>
        <w:tblW w:w="9654" w:type="dxa"/>
        <w:tblInd w:w="55" w:type="dxa"/>
        <w:tblCellMar>
          <w:left w:w="70" w:type="dxa"/>
          <w:right w:w="70" w:type="dxa"/>
        </w:tblCellMar>
        <w:tblLook w:val="04A0" w:firstRow="1" w:lastRow="0" w:firstColumn="1" w:lastColumn="0" w:noHBand="0" w:noVBand="1"/>
      </w:tblPr>
      <w:tblGrid>
        <w:gridCol w:w="3121"/>
        <w:gridCol w:w="1559"/>
        <w:gridCol w:w="1418"/>
        <w:gridCol w:w="1559"/>
        <w:gridCol w:w="722"/>
        <w:gridCol w:w="1275"/>
      </w:tblGrid>
      <w:tr w:rsidR="007154F7" w:rsidRPr="007154F7" w:rsidTr="007154F7">
        <w:trPr>
          <w:trHeight w:val="288"/>
        </w:trPr>
        <w:tc>
          <w:tcPr>
            <w:tcW w:w="3134" w:type="dxa"/>
            <w:tcBorders>
              <w:top w:val="single" w:sz="4" w:space="0" w:color="auto"/>
              <w:left w:val="single" w:sz="4" w:space="0" w:color="auto"/>
              <w:bottom w:val="single" w:sz="4" w:space="0" w:color="auto"/>
              <w:right w:val="single" w:sz="4" w:space="0" w:color="auto"/>
            </w:tcBorders>
            <w:shd w:val="clear" w:color="auto" w:fill="DDD9C3"/>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Text</w:t>
            </w:r>
          </w:p>
        </w:tc>
        <w:tc>
          <w:tcPr>
            <w:tcW w:w="1559" w:type="dxa"/>
            <w:tcBorders>
              <w:top w:val="single" w:sz="4" w:space="0" w:color="auto"/>
              <w:left w:val="nil"/>
              <w:bottom w:val="single" w:sz="4" w:space="0" w:color="auto"/>
              <w:right w:val="single" w:sz="4" w:space="0" w:color="auto"/>
            </w:tcBorders>
            <w:shd w:val="clear" w:color="auto" w:fill="DDD9C3"/>
            <w:noWrap/>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SR</w:t>
            </w:r>
          </w:p>
        </w:tc>
        <w:tc>
          <w:tcPr>
            <w:tcW w:w="1418" w:type="dxa"/>
            <w:tcBorders>
              <w:top w:val="single" w:sz="4" w:space="0" w:color="auto"/>
              <w:left w:val="nil"/>
              <w:bottom w:val="single" w:sz="4" w:space="0" w:color="auto"/>
              <w:right w:val="single" w:sz="4" w:space="0" w:color="auto"/>
            </w:tcBorders>
            <w:shd w:val="clear" w:color="auto" w:fill="DDD9C3"/>
            <w:noWrap/>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UR</w:t>
            </w:r>
          </w:p>
        </w:tc>
        <w:tc>
          <w:tcPr>
            <w:tcW w:w="1559" w:type="dxa"/>
            <w:tcBorders>
              <w:top w:val="single" w:sz="4" w:space="0" w:color="auto"/>
              <w:left w:val="nil"/>
              <w:bottom w:val="single" w:sz="4" w:space="0" w:color="auto"/>
              <w:right w:val="single" w:sz="4" w:space="0" w:color="auto"/>
            </w:tcBorders>
            <w:shd w:val="clear" w:color="auto" w:fill="DDD9C3"/>
            <w:noWrap/>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skutečnost</w:t>
            </w:r>
          </w:p>
        </w:tc>
        <w:tc>
          <w:tcPr>
            <w:tcW w:w="709" w:type="dxa"/>
            <w:tcBorders>
              <w:top w:val="single" w:sz="4" w:space="0" w:color="auto"/>
              <w:left w:val="nil"/>
              <w:bottom w:val="single" w:sz="4" w:space="0" w:color="auto"/>
              <w:right w:val="single" w:sz="4" w:space="0" w:color="auto"/>
            </w:tcBorders>
            <w:shd w:val="clear" w:color="auto" w:fill="DDD9C3"/>
            <w:noWrap/>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w:t>
            </w:r>
          </w:p>
        </w:tc>
        <w:tc>
          <w:tcPr>
            <w:tcW w:w="1275" w:type="dxa"/>
            <w:tcBorders>
              <w:top w:val="single" w:sz="4" w:space="0" w:color="auto"/>
              <w:left w:val="nil"/>
              <w:bottom w:val="single" w:sz="4" w:space="0" w:color="auto"/>
              <w:right w:val="single" w:sz="4" w:space="0" w:color="auto"/>
            </w:tcBorders>
            <w:shd w:val="clear" w:color="auto" w:fill="DDD9C3"/>
            <w:noWrap/>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zůstatek</w:t>
            </w:r>
          </w:p>
        </w:tc>
      </w:tr>
      <w:tr w:rsidR="007154F7" w:rsidRPr="007154F7" w:rsidTr="007154F7">
        <w:trPr>
          <w:trHeight w:val="552"/>
        </w:trPr>
        <w:tc>
          <w:tcPr>
            <w:tcW w:w="3134" w:type="dxa"/>
            <w:tcBorders>
              <w:top w:val="nil"/>
              <w:left w:val="single" w:sz="4" w:space="0" w:color="auto"/>
              <w:bottom w:val="single" w:sz="4" w:space="0" w:color="auto"/>
              <w:right w:val="single" w:sz="4" w:space="0" w:color="auto"/>
            </w:tcBorders>
            <w:shd w:val="clear" w:color="auto" w:fill="auto"/>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Sportovní hala </w:t>
            </w:r>
            <w:proofErr w:type="spellStart"/>
            <w:r w:rsidRPr="007154F7">
              <w:rPr>
                <w:rFonts w:ascii="Verdana" w:hAnsi="Verdana"/>
                <w:sz w:val="20"/>
                <w:szCs w:val="20"/>
              </w:rPr>
              <w:t>Klimeška</w:t>
            </w:r>
            <w:proofErr w:type="spellEnd"/>
            <w:r w:rsidRPr="007154F7">
              <w:rPr>
                <w:rFonts w:ascii="Verdana" w:hAnsi="Verdana"/>
                <w:sz w:val="20"/>
                <w:szCs w:val="20"/>
              </w:rPr>
              <w:t xml:space="preserve"> III. akce pokračuje v roce 2020</w:t>
            </w:r>
          </w:p>
        </w:tc>
        <w:tc>
          <w:tcPr>
            <w:tcW w:w="155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20 000 000,00</w:t>
            </w:r>
          </w:p>
        </w:tc>
        <w:tc>
          <w:tcPr>
            <w:tcW w:w="1418"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30 107 250,00</w:t>
            </w:r>
          </w:p>
        </w:tc>
        <w:tc>
          <w:tcPr>
            <w:tcW w:w="155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21 516 323,88</w:t>
            </w:r>
          </w:p>
        </w:tc>
        <w:tc>
          <w:tcPr>
            <w:tcW w:w="70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71,47</w:t>
            </w:r>
          </w:p>
        </w:tc>
        <w:tc>
          <w:tcPr>
            <w:tcW w:w="1275"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8 590 926,12</w:t>
            </w:r>
          </w:p>
        </w:tc>
      </w:tr>
      <w:tr w:rsidR="007154F7" w:rsidRPr="007154F7" w:rsidTr="007154F7">
        <w:trPr>
          <w:trHeight w:val="552"/>
        </w:trPr>
        <w:tc>
          <w:tcPr>
            <w:tcW w:w="3134" w:type="dxa"/>
            <w:tcBorders>
              <w:top w:val="nil"/>
              <w:left w:val="single" w:sz="4" w:space="0" w:color="auto"/>
              <w:bottom w:val="single" w:sz="4" w:space="0" w:color="auto"/>
              <w:right w:val="single" w:sz="4" w:space="0" w:color="auto"/>
            </w:tcBorders>
            <w:shd w:val="clear" w:color="auto" w:fill="auto"/>
            <w:hideMark/>
          </w:tcPr>
          <w:p w:rsidR="004B6D91" w:rsidRPr="007154F7" w:rsidRDefault="004B6D91" w:rsidP="007154F7">
            <w:pPr>
              <w:spacing w:after="0"/>
              <w:jc w:val="both"/>
              <w:rPr>
                <w:rFonts w:ascii="Verdana" w:hAnsi="Verdana"/>
                <w:sz w:val="20"/>
                <w:szCs w:val="20"/>
              </w:rPr>
            </w:pPr>
            <w:proofErr w:type="spellStart"/>
            <w:r w:rsidRPr="007154F7">
              <w:rPr>
                <w:rFonts w:ascii="Verdana" w:hAnsi="Verdana"/>
                <w:sz w:val="20"/>
                <w:szCs w:val="20"/>
              </w:rPr>
              <w:t>Sankturinovský</w:t>
            </w:r>
            <w:proofErr w:type="spellEnd"/>
            <w:r w:rsidRPr="007154F7">
              <w:rPr>
                <w:rFonts w:ascii="Verdana" w:hAnsi="Verdana"/>
                <w:sz w:val="20"/>
                <w:szCs w:val="20"/>
              </w:rPr>
              <w:t xml:space="preserve"> dům akce pokračuje v roce 2020</w:t>
            </w:r>
          </w:p>
        </w:tc>
        <w:tc>
          <w:tcPr>
            <w:tcW w:w="155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7 517 600,00</w:t>
            </w:r>
          </w:p>
        </w:tc>
        <w:tc>
          <w:tcPr>
            <w:tcW w:w="1418"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7 327 600,00</w:t>
            </w:r>
          </w:p>
        </w:tc>
        <w:tc>
          <w:tcPr>
            <w:tcW w:w="155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0,00</w:t>
            </w:r>
          </w:p>
        </w:tc>
        <w:tc>
          <w:tcPr>
            <w:tcW w:w="70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0,00</w:t>
            </w:r>
          </w:p>
        </w:tc>
        <w:tc>
          <w:tcPr>
            <w:tcW w:w="1275"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7 327 600,00</w:t>
            </w:r>
          </w:p>
        </w:tc>
      </w:tr>
      <w:tr w:rsidR="007154F7" w:rsidRPr="007154F7" w:rsidTr="007154F7">
        <w:trPr>
          <w:trHeight w:val="336"/>
        </w:trPr>
        <w:tc>
          <w:tcPr>
            <w:tcW w:w="3134" w:type="dxa"/>
            <w:tcBorders>
              <w:top w:val="nil"/>
              <w:left w:val="single" w:sz="4" w:space="0" w:color="auto"/>
              <w:bottom w:val="single" w:sz="4" w:space="0" w:color="auto"/>
              <w:right w:val="single" w:sz="4" w:space="0" w:color="auto"/>
            </w:tcBorders>
            <w:shd w:val="clear" w:color="auto" w:fill="auto"/>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Vlašský dvůr - revitalizace </w:t>
            </w:r>
            <w:r w:rsidRPr="007154F7">
              <w:rPr>
                <w:rFonts w:ascii="Verdana" w:hAnsi="Verdana"/>
                <w:b/>
                <w:bCs/>
                <w:sz w:val="20"/>
                <w:szCs w:val="20"/>
              </w:rPr>
              <w:t>akce pokračuje v roce 2020</w:t>
            </w:r>
          </w:p>
        </w:tc>
        <w:tc>
          <w:tcPr>
            <w:tcW w:w="155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18 858 968,00</w:t>
            </w:r>
          </w:p>
        </w:tc>
        <w:tc>
          <w:tcPr>
            <w:tcW w:w="1418"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57 799 042,71</w:t>
            </w:r>
          </w:p>
        </w:tc>
        <w:tc>
          <w:tcPr>
            <w:tcW w:w="155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51 918 216,30</w:t>
            </w:r>
          </w:p>
        </w:tc>
        <w:tc>
          <w:tcPr>
            <w:tcW w:w="70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89,83</w:t>
            </w:r>
          </w:p>
        </w:tc>
        <w:tc>
          <w:tcPr>
            <w:tcW w:w="1275"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5 880 826,41</w:t>
            </w:r>
          </w:p>
        </w:tc>
      </w:tr>
      <w:tr w:rsidR="007154F7" w:rsidRPr="007154F7" w:rsidTr="007154F7">
        <w:trPr>
          <w:trHeight w:val="288"/>
        </w:trPr>
        <w:tc>
          <w:tcPr>
            <w:tcW w:w="3134" w:type="dxa"/>
            <w:tcBorders>
              <w:top w:val="nil"/>
              <w:left w:val="single" w:sz="4" w:space="0" w:color="auto"/>
              <w:bottom w:val="single" w:sz="4" w:space="0" w:color="auto"/>
              <w:right w:val="single" w:sz="4" w:space="0" w:color="auto"/>
            </w:tcBorders>
            <w:shd w:val="clear" w:color="auto" w:fill="auto"/>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Výkupy pozemků</w:t>
            </w:r>
          </w:p>
        </w:tc>
        <w:tc>
          <w:tcPr>
            <w:tcW w:w="155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3 720 000,00</w:t>
            </w:r>
          </w:p>
        </w:tc>
        <w:tc>
          <w:tcPr>
            <w:tcW w:w="1418"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3 540 414,00</w:t>
            </w:r>
          </w:p>
        </w:tc>
        <w:tc>
          <w:tcPr>
            <w:tcW w:w="155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61 400,00</w:t>
            </w:r>
          </w:p>
        </w:tc>
        <w:tc>
          <w:tcPr>
            <w:tcW w:w="70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1,73</w:t>
            </w:r>
          </w:p>
        </w:tc>
        <w:tc>
          <w:tcPr>
            <w:tcW w:w="1275"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3 479 014,00</w:t>
            </w:r>
          </w:p>
        </w:tc>
      </w:tr>
      <w:tr w:rsidR="007154F7" w:rsidRPr="007154F7" w:rsidTr="007154F7">
        <w:trPr>
          <w:trHeight w:val="288"/>
        </w:trPr>
        <w:tc>
          <w:tcPr>
            <w:tcW w:w="3134" w:type="dxa"/>
            <w:tcBorders>
              <w:top w:val="nil"/>
              <w:left w:val="single" w:sz="4" w:space="0" w:color="auto"/>
              <w:bottom w:val="single" w:sz="4" w:space="0" w:color="auto"/>
              <w:right w:val="single" w:sz="4" w:space="0" w:color="auto"/>
            </w:tcBorders>
            <w:shd w:val="clear" w:color="auto" w:fill="auto"/>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Hlasovací systém - dokončeno</w:t>
            </w:r>
          </w:p>
        </w:tc>
        <w:tc>
          <w:tcPr>
            <w:tcW w:w="155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2 000 000,00</w:t>
            </w:r>
          </w:p>
        </w:tc>
        <w:tc>
          <w:tcPr>
            <w:tcW w:w="1418"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1 876 884,17</w:t>
            </w:r>
          </w:p>
        </w:tc>
        <w:tc>
          <w:tcPr>
            <w:tcW w:w="155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877 996,50</w:t>
            </w:r>
          </w:p>
        </w:tc>
        <w:tc>
          <w:tcPr>
            <w:tcW w:w="70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46,78</w:t>
            </w:r>
          </w:p>
        </w:tc>
        <w:tc>
          <w:tcPr>
            <w:tcW w:w="1275"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998 887,67</w:t>
            </w:r>
          </w:p>
        </w:tc>
      </w:tr>
      <w:tr w:rsidR="007154F7" w:rsidRPr="007154F7" w:rsidTr="007154F7">
        <w:trPr>
          <w:trHeight w:val="288"/>
        </w:trPr>
        <w:tc>
          <w:tcPr>
            <w:tcW w:w="3134" w:type="dxa"/>
            <w:tcBorders>
              <w:top w:val="nil"/>
              <w:left w:val="single" w:sz="4" w:space="0" w:color="auto"/>
              <w:bottom w:val="single" w:sz="4" w:space="0" w:color="auto"/>
              <w:right w:val="single" w:sz="4" w:space="0" w:color="auto"/>
            </w:tcBorders>
            <w:shd w:val="clear" w:color="auto" w:fill="auto"/>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Územní plán - </w:t>
            </w:r>
            <w:r w:rsidRPr="007154F7">
              <w:rPr>
                <w:rFonts w:ascii="Verdana" w:hAnsi="Verdana"/>
                <w:b/>
                <w:bCs/>
                <w:sz w:val="20"/>
                <w:szCs w:val="20"/>
              </w:rPr>
              <w:t>akce pokračuje</w:t>
            </w:r>
          </w:p>
        </w:tc>
        <w:tc>
          <w:tcPr>
            <w:tcW w:w="155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2 900 000,00</w:t>
            </w:r>
          </w:p>
        </w:tc>
        <w:tc>
          <w:tcPr>
            <w:tcW w:w="1418"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3 122 750,00</w:t>
            </w:r>
          </w:p>
        </w:tc>
        <w:tc>
          <w:tcPr>
            <w:tcW w:w="155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2 159 664,00</w:t>
            </w:r>
          </w:p>
        </w:tc>
        <w:tc>
          <w:tcPr>
            <w:tcW w:w="70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69,16</w:t>
            </w:r>
          </w:p>
        </w:tc>
        <w:tc>
          <w:tcPr>
            <w:tcW w:w="1275"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963 086,00</w:t>
            </w:r>
          </w:p>
        </w:tc>
      </w:tr>
      <w:tr w:rsidR="007154F7" w:rsidRPr="007154F7" w:rsidTr="007154F7">
        <w:trPr>
          <w:trHeight w:val="552"/>
        </w:trPr>
        <w:tc>
          <w:tcPr>
            <w:tcW w:w="3134" w:type="dxa"/>
            <w:tcBorders>
              <w:top w:val="nil"/>
              <w:left w:val="single" w:sz="4" w:space="0" w:color="auto"/>
              <w:bottom w:val="single" w:sz="4" w:space="0" w:color="auto"/>
              <w:right w:val="single" w:sz="4" w:space="0" w:color="auto"/>
            </w:tcBorders>
            <w:shd w:val="clear" w:color="auto" w:fill="auto"/>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Tebis - napojení prodejny </w:t>
            </w:r>
            <w:proofErr w:type="spellStart"/>
            <w:r w:rsidRPr="007154F7">
              <w:rPr>
                <w:rFonts w:ascii="Verdana" w:hAnsi="Verdana"/>
                <w:sz w:val="20"/>
                <w:szCs w:val="20"/>
              </w:rPr>
              <w:t>MaxiHit</w:t>
            </w:r>
            <w:proofErr w:type="spellEnd"/>
            <w:r w:rsidRPr="007154F7">
              <w:rPr>
                <w:rFonts w:ascii="Verdana" w:hAnsi="Verdana"/>
                <w:sz w:val="20"/>
                <w:szCs w:val="20"/>
              </w:rPr>
              <w:t xml:space="preserve"> - </w:t>
            </w:r>
            <w:r w:rsidRPr="007154F7">
              <w:rPr>
                <w:rFonts w:ascii="Verdana" w:hAnsi="Verdana"/>
                <w:b/>
                <w:bCs/>
                <w:sz w:val="20"/>
                <w:szCs w:val="20"/>
              </w:rPr>
              <w:t>realizace přesunuta do roku 2020</w:t>
            </w:r>
          </w:p>
        </w:tc>
        <w:tc>
          <w:tcPr>
            <w:tcW w:w="155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1 140 350,00</w:t>
            </w:r>
          </w:p>
        </w:tc>
        <w:tc>
          <w:tcPr>
            <w:tcW w:w="1418"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1 549 220,00</w:t>
            </w:r>
          </w:p>
        </w:tc>
        <w:tc>
          <w:tcPr>
            <w:tcW w:w="155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677 600,00</w:t>
            </w:r>
          </w:p>
        </w:tc>
        <w:tc>
          <w:tcPr>
            <w:tcW w:w="70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43,74</w:t>
            </w:r>
          </w:p>
        </w:tc>
        <w:tc>
          <w:tcPr>
            <w:tcW w:w="1275"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871 620,00</w:t>
            </w:r>
          </w:p>
        </w:tc>
      </w:tr>
      <w:tr w:rsidR="007154F7" w:rsidRPr="007154F7" w:rsidTr="007154F7">
        <w:trPr>
          <w:trHeight w:val="288"/>
        </w:trPr>
        <w:tc>
          <w:tcPr>
            <w:tcW w:w="3134" w:type="dxa"/>
            <w:tcBorders>
              <w:top w:val="nil"/>
              <w:left w:val="single" w:sz="4" w:space="0" w:color="auto"/>
              <w:bottom w:val="single" w:sz="4" w:space="0" w:color="auto"/>
              <w:right w:val="single" w:sz="4" w:space="0" w:color="auto"/>
            </w:tcBorders>
            <w:shd w:val="clear" w:color="auto" w:fill="auto"/>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Elektrifikace náměstí - ukončeno</w:t>
            </w:r>
          </w:p>
        </w:tc>
        <w:tc>
          <w:tcPr>
            <w:tcW w:w="155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0,00</w:t>
            </w:r>
          </w:p>
        </w:tc>
        <w:tc>
          <w:tcPr>
            <w:tcW w:w="1418"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2 545 051,00</w:t>
            </w:r>
          </w:p>
        </w:tc>
        <w:tc>
          <w:tcPr>
            <w:tcW w:w="155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1 859 764,79</w:t>
            </w:r>
          </w:p>
        </w:tc>
        <w:tc>
          <w:tcPr>
            <w:tcW w:w="70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73,07</w:t>
            </w:r>
          </w:p>
        </w:tc>
        <w:tc>
          <w:tcPr>
            <w:tcW w:w="1275"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685 286,21</w:t>
            </w:r>
          </w:p>
        </w:tc>
      </w:tr>
      <w:tr w:rsidR="007154F7" w:rsidRPr="007154F7" w:rsidTr="007154F7">
        <w:trPr>
          <w:trHeight w:val="288"/>
        </w:trPr>
        <w:tc>
          <w:tcPr>
            <w:tcW w:w="3134" w:type="dxa"/>
            <w:tcBorders>
              <w:top w:val="nil"/>
              <w:left w:val="single" w:sz="4" w:space="0" w:color="auto"/>
              <w:bottom w:val="single" w:sz="4" w:space="0" w:color="auto"/>
              <w:right w:val="single" w:sz="4" w:space="0" w:color="auto"/>
            </w:tcBorders>
            <w:shd w:val="clear" w:color="auto" w:fill="auto"/>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Komunikace Fučíkova - ukončeno</w:t>
            </w:r>
          </w:p>
        </w:tc>
        <w:tc>
          <w:tcPr>
            <w:tcW w:w="155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12 000 000,00</w:t>
            </w:r>
          </w:p>
        </w:tc>
        <w:tc>
          <w:tcPr>
            <w:tcW w:w="1418"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11 963 700,00</w:t>
            </w:r>
          </w:p>
        </w:tc>
        <w:tc>
          <w:tcPr>
            <w:tcW w:w="155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11 403 959,20</w:t>
            </w:r>
          </w:p>
        </w:tc>
        <w:tc>
          <w:tcPr>
            <w:tcW w:w="70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95,32</w:t>
            </w:r>
          </w:p>
        </w:tc>
        <w:tc>
          <w:tcPr>
            <w:tcW w:w="1275"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559 740,80</w:t>
            </w:r>
          </w:p>
        </w:tc>
      </w:tr>
      <w:tr w:rsidR="007154F7" w:rsidRPr="007154F7" w:rsidTr="007154F7">
        <w:trPr>
          <w:trHeight w:val="552"/>
        </w:trPr>
        <w:tc>
          <w:tcPr>
            <w:tcW w:w="3134" w:type="dxa"/>
            <w:tcBorders>
              <w:top w:val="nil"/>
              <w:left w:val="single" w:sz="4" w:space="0" w:color="auto"/>
              <w:bottom w:val="single" w:sz="4" w:space="0" w:color="auto"/>
              <w:right w:val="single" w:sz="4" w:space="0" w:color="auto"/>
            </w:tcBorders>
            <w:shd w:val="clear" w:color="auto" w:fill="auto"/>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Studie veřejné prostory (vybrané) PD Studie </w:t>
            </w:r>
          </w:p>
        </w:tc>
        <w:tc>
          <w:tcPr>
            <w:tcW w:w="155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900 000,00</w:t>
            </w:r>
          </w:p>
        </w:tc>
        <w:tc>
          <w:tcPr>
            <w:tcW w:w="1418"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487 511,00</w:t>
            </w:r>
          </w:p>
        </w:tc>
        <w:tc>
          <w:tcPr>
            <w:tcW w:w="155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0,00</w:t>
            </w:r>
          </w:p>
        </w:tc>
        <w:tc>
          <w:tcPr>
            <w:tcW w:w="70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0,00</w:t>
            </w:r>
          </w:p>
        </w:tc>
        <w:tc>
          <w:tcPr>
            <w:tcW w:w="1275"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487 511,00</w:t>
            </w:r>
          </w:p>
        </w:tc>
      </w:tr>
      <w:tr w:rsidR="007154F7" w:rsidRPr="007154F7" w:rsidTr="007154F7">
        <w:trPr>
          <w:trHeight w:val="288"/>
        </w:trPr>
        <w:tc>
          <w:tcPr>
            <w:tcW w:w="3134" w:type="dxa"/>
            <w:tcBorders>
              <w:top w:val="nil"/>
              <w:left w:val="single" w:sz="4" w:space="0" w:color="auto"/>
              <w:bottom w:val="single" w:sz="4" w:space="0" w:color="auto"/>
              <w:right w:val="single" w:sz="4" w:space="0" w:color="auto"/>
            </w:tcBorders>
            <w:shd w:val="clear" w:color="auto" w:fill="auto"/>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Česká 793 - obnova smuteční síně</w:t>
            </w:r>
          </w:p>
        </w:tc>
        <w:tc>
          <w:tcPr>
            <w:tcW w:w="155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0,00</w:t>
            </w:r>
          </w:p>
        </w:tc>
        <w:tc>
          <w:tcPr>
            <w:tcW w:w="1418"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475 900,00</w:t>
            </w:r>
          </w:p>
        </w:tc>
        <w:tc>
          <w:tcPr>
            <w:tcW w:w="155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97 286,42</w:t>
            </w:r>
          </w:p>
        </w:tc>
        <w:tc>
          <w:tcPr>
            <w:tcW w:w="70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20,44</w:t>
            </w:r>
          </w:p>
        </w:tc>
        <w:tc>
          <w:tcPr>
            <w:tcW w:w="1275"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378 613,58</w:t>
            </w:r>
          </w:p>
        </w:tc>
      </w:tr>
      <w:tr w:rsidR="007154F7" w:rsidRPr="007154F7" w:rsidTr="007154F7">
        <w:trPr>
          <w:trHeight w:val="288"/>
        </w:trPr>
        <w:tc>
          <w:tcPr>
            <w:tcW w:w="3134" w:type="dxa"/>
            <w:tcBorders>
              <w:top w:val="nil"/>
              <w:left w:val="single" w:sz="4" w:space="0" w:color="auto"/>
              <w:bottom w:val="single" w:sz="4" w:space="0" w:color="auto"/>
              <w:right w:val="single" w:sz="4" w:space="0" w:color="auto"/>
            </w:tcBorders>
            <w:shd w:val="clear" w:color="auto" w:fill="auto"/>
            <w:hideMark/>
          </w:tcPr>
          <w:p w:rsidR="004B6D91" w:rsidRPr="007154F7" w:rsidRDefault="004B6D91" w:rsidP="007154F7">
            <w:pPr>
              <w:spacing w:after="0"/>
              <w:jc w:val="both"/>
              <w:rPr>
                <w:rFonts w:ascii="Verdana" w:hAnsi="Verdana"/>
                <w:sz w:val="20"/>
                <w:szCs w:val="20"/>
              </w:rPr>
            </w:pPr>
            <w:proofErr w:type="spellStart"/>
            <w:r w:rsidRPr="007154F7">
              <w:rPr>
                <w:rFonts w:ascii="Verdana" w:hAnsi="Verdana"/>
                <w:sz w:val="20"/>
                <w:szCs w:val="20"/>
              </w:rPr>
              <w:t>Inv.příspěvky</w:t>
            </w:r>
            <w:proofErr w:type="spellEnd"/>
            <w:r w:rsidRPr="007154F7">
              <w:rPr>
                <w:rFonts w:ascii="Verdana" w:hAnsi="Verdana"/>
                <w:sz w:val="20"/>
                <w:szCs w:val="20"/>
              </w:rPr>
              <w:t xml:space="preserve"> na kanalizaci</w:t>
            </w:r>
          </w:p>
        </w:tc>
        <w:tc>
          <w:tcPr>
            <w:tcW w:w="155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380 000,00</w:t>
            </w:r>
          </w:p>
        </w:tc>
        <w:tc>
          <w:tcPr>
            <w:tcW w:w="1418"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380 000,00</w:t>
            </w:r>
          </w:p>
        </w:tc>
        <w:tc>
          <w:tcPr>
            <w:tcW w:w="155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10 000,00</w:t>
            </w:r>
          </w:p>
        </w:tc>
        <w:tc>
          <w:tcPr>
            <w:tcW w:w="70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2,63</w:t>
            </w:r>
          </w:p>
        </w:tc>
        <w:tc>
          <w:tcPr>
            <w:tcW w:w="1275"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370 000,00</w:t>
            </w:r>
          </w:p>
        </w:tc>
      </w:tr>
      <w:tr w:rsidR="007154F7" w:rsidRPr="007154F7" w:rsidTr="007154F7">
        <w:trPr>
          <w:trHeight w:val="288"/>
        </w:trPr>
        <w:tc>
          <w:tcPr>
            <w:tcW w:w="3134" w:type="dxa"/>
            <w:tcBorders>
              <w:top w:val="nil"/>
              <w:left w:val="single" w:sz="4" w:space="0" w:color="auto"/>
              <w:bottom w:val="single" w:sz="4" w:space="0" w:color="auto"/>
              <w:right w:val="single" w:sz="4" w:space="0" w:color="auto"/>
            </w:tcBorders>
            <w:shd w:val="clear" w:color="auto" w:fill="auto"/>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Cyklostezky Kutná Hora</w:t>
            </w:r>
          </w:p>
        </w:tc>
        <w:tc>
          <w:tcPr>
            <w:tcW w:w="155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1 000 000,00</w:t>
            </w:r>
          </w:p>
        </w:tc>
        <w:tc>
          <w:tcPr>
            <w:tcW w:w="1418"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334 347,81</w:t>
            </w:r>
          </w:p>
        </w:tc>
        <w:tc>
          <w:tcPr>
            <w:tcW w:w="155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0,00</w:t>
            </w:r>
          </w:p>
        </w:tc>
        <w:tc>
          <w:tcPr>
            <w:tcW w:w="70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0,00</w:t>
            </w:r>
          </w:p>
        </w:tc>
        <w:tc>
          <w:tcPr>
            <w:tcW w:w="1275"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334 347,81</w:t>
            </w:r>
          </w:p>
        </w:tc>
      </w:tr>
      <w:tr w:rsidR="007154F7" w:rsidRPr="007154F7" w:rsidTr="007154F7">
        <w:trPr>
          <w:trHeight w:val="364"/>
        </w:trPr>
        <w:tc>
          <w:tcPr>
            <w:tcW w:w="3134" w:type="dxa"/>
            <w:tcBorders>
              <w:top w:val="nil"/>
              <w:left w:val="single" w:sz="4" w:space="0" w:color="auto"/>
              <w:bottom w:val="single" w:sz="4" w:space="0" w:color="auto"/>
              <w:right w:val="single" w:sz="4" w:space="0" w:color="auto"/>
            </w:tcBorders>
            <w:shd w:val="clear" w:color="auto" w:fill="auto"/>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PD kan. </w:t>
            </w:r>
            <w:proofErr w:type="gramStart"/>
            <w:r w:rsidRPr="007154F7">
              <w:rPr>
                <w:rFonts w:ascii="Verdana" w:hAnsi="Verdana"/>
                <w:sz w:val="20"/>
                <w:szCs w:val="20"/>
              </w:rPr>
              <w:t>příp.</w:t>
            </w:r>
            <w:proofErr w:type="gramEnd"/>
            <w:r w:rsidRPr="007154F7">
              <w:rPr>
                <w:rFonts w:ascii="Verdana" w:hAnsi="Verdana"/>
                <w:sz w:val="20"/>
                <w:szCs w:val="20"/>
              </w:rPr>
              <w:t xml:space="preserve"> Perštejnec </w:t>
            </w:r>
            <w:r w:rsidRPr="007154F7">
              <w:rPr>
                <w:rFonts w:ascii="Verdana" w:hAnsi="Verdana"/>
                <w:b/>
                <w:bCs/>
                <w:sz w:val="20"/>
                <w:szCs w:val="20"/>
              </w:rPr>
              <w:t>- akce přesunuta do roku 2020</w:t>
            </w:r>
          </w:p>
        </w:tc>
        <w:tc>
          <w:tcPr>
            <w:tcW w:w="155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0,00</w:t>
            </w:r>
          </w:p>
        </w:tc>
        <w:tc>
          <w:tcPr>
            <w:tcW w:w="1418"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238 110,00</w:t>
            </w:r>
          </w:p>
        </w:tc>
        <w:tc>
          <w:tcPr>
            <w:tcW w:w="155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0,00</w:t>
            </w:r>
          </w:p>
        </w:tc>
        <w:tc>
          <w:tcPr>
            <w:tcW w:w="70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0,00</w:t>
            </w:r>
          </w:p>
        </w:tc>
        <w:tc>
          <w:tcPr>
            <w:tcW w:w="1275"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238 110,00</w:t>
            </w:r>
          </w:p>
        </w:tc>
      </w:tr>
      <w:tr w:rsidR="007154F7" w:rsidRPr="007154F7" w:rsidTr="007154F7">
        <w:trPr>
          <w:trHeight w:val="288"/>
        </w:trPr>
        <w:tc>
          <w:tcPr>
            <w:tcW w:w="3134" w:type="dxa"/>
            <w:tcBorders>
              <w:top w:val="nil"/>
              <w:left w:val="single" w:sz="4" w:space="0" w:color="auto"/>
              <w:bottom w:val="single" w:sz="4" w:space="0" w:color="auto"/>
              <w:right w:val="single" w:sz="4" w:space="0" w:color="auto"/>
            </w:tcBorders>
            <w:shd w:val="clear" w:color="auto" w:fill="auto"/>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DPS - rekonstrukce</w:t>
            </w:r>
          </w:p>
        </w:tc>
        <w:tc>
          <w:tcPr>
            <w:tcW w:w="155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2 000 000,00</w:t>
            </w:r>
          </w:p>
        </w:tc>
        <w:tc>
          <w:tcPr>
            <w:tcW w:w="1418"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1 539 600,00</w:t>
            </w:r>
          </w:p>
        </w:tc>
        <w:tc>
          <w:tcPr>
            <w:tcW w:w="155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1 438 201,13</w:t>
            </w:r>
          </w:p>
        </w:tc>
        <w:tc>
          <w:tcPr>
            <w:tcW w:w="70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93,41</w:t>
            </w:r>
          </w:p>
        </w:tc>
        <w:tc>
          <w:tcPr>
            <w:tcW w:w="1275"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101 398,87</w:t>
            </w:r>
          </w:p>
        </w:tc>
      </w:tr>
      <w:tr w:rsidR="007154F7" w:rsidRPr="007154F7" w:rsidTr="007154F7">
        <w:trPr>
          <w:trHeight w:val="552"/>
        </w:trPr>
        <w:tc>
          <w:tcPr>
            <w:tcW w:w="3134" w:type="dxa"/>
            <w:tcBorders>
              <w:top w:val="nil"/>
              <w:left w:val="single" w:sz="4" w:space="0" w:color="auto"/>
              <w:bottom w:val="single" w:sz="4" w:space="0" w:color="auto"/>
              <w:right w:val="single" w:sz="4" w:space="0" w:color="auto"/>
            </w:tcBorders>
            <w:shd w:val="clear" w:color="auto" w:fill="auto"/>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SDH - DHM spoluúčast k dotaci </w:t>
            </w:r>
            <w:r w:rsidRPr="007154F7">
              <w:rPr>
                <w:rFonts w:ascii="Verdana" w:hAnsi="Verdana"/>
                <w:b/>
                <w:bCs/>
                <w:sz w:val="20"/>
                <w:szCs w:val="20"/>
              </w:rPr>
              <w:t>- dokončení v roce 2020</w:t>
            </w:r>
          </w:p>
        </w:tc>
        <w:tc>
          <w:tcPr>
            <w:tcW w:w="155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0,00</w:t>
            </w:r>
          </w:p>
        </w:tc>
        <w:tc>
          <w:tcPr>
            <w:tcW w:w="1418"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159 418,00</w:t>
            </w:r>
          </w:p>
        </w:tc>
        <w:tc>
          <w:tcPr>
            <w:tcW w:w="155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59 290,00</w:t>
            </w:r>
          </w:p>
        </w:tc>
        <w:tc>
          <w:tcPr>
            <w:tcW w:w="70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37,19</w:t>
            </w:r>
          </w:p>
        </w:tc>
        <w:tc>
          <w:tcPr>
            <w:tcW w:w="1275"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100 128,00</w:t>
            </w:r>
          </w:p>
        </w:tc>
      </w:tr>
      <w:tr w:rsidR="007154F7" w:rsidRPr="007154F7" w:rsidTr="007154F7">
        <w:trPr>
          <w:trHeight w:val="288"/>
        </w:trPr>
        <w:tc>
          <w:tcPr>
            <w:tcW w:w="3134" w:type="dxa"/>
            <w:tcBorders>
              <w:top w:val="nil"/>
              <w:left w:val="single" w:sz="4" w:space="0" w:color="auto"/>
              <w:bottom w:val="single" w:sz="4" w:space="0" w:color="auto"/>
              <w:right w:val="single" w:sz="4" w:space="0" w:color="auto"/>
            </w:tcBorders>
            <w:shd w:val="clear" w:color="auto" w:fill="auto"/>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Byty rekonstrukce</w:t>
            </w:r>
          </w:p>
        </w:tc>
        <w:tc>
          <w:tcPr>
            <w:tcW w:w="155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5 560 000,00</w:t>
            </w:r>
          </w:p>
        </w:tc>
        <w:tc>
          <w:tcPr>
            <w:tcW w:w="1418"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1 308 000,00</w:t>
            </w:r>
          </w:p>
        </w:tc>
        <w:tc>
          <w:tcPr>
            <w:tcW w:w="155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1 209 954,76</w:t>
            </w:r>
          </w:p>
        </w:tc>
        <w:tc>
          <w:tcPr>
            <w:tcW w:w="709"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92,50</w:t>
            </w:r>
          </w:p>
        </w:tc>
        <w:tc>
          <w:tcPr>
            <w:tcW w:w="1275" w:type="dxa"/>
            <w:tcBorders>
              <w:top w:val="nil"/>
              <w:left w:val="nil"/>
              <w:bottom w:val="single" w:sz="4" w:space="0" w:color="auto"/>
              <w:right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98 045,24</w:t>
            </w:r>
          </w:p>
        </w:tc>
      </w:tr>
    </w:tbl>
    <w:p w:rsidR="004B6D91" w:rsidRPr="007154F7" w:rsidRDefault="004B6D91" w:rsidP="007154F7">
      <w:pPr>
        <w:pStyle w:val="Odstavecseseznamem"/>
        <w:spacing w:line="276" w:lineRule="auto"/>
        <w:ind w:left="0"/>
        <w:contextualSpacing w:val="0"/>
        <w:jc w:val="both"/>
        <w:rPr>
          <w:rFonts w:ascii="Verdana" w:hAnsi="Verdana"/>
          <w:sz w:val="20"/>
          <w:szCs w:val="20"/>
        </w:rPr>
      </w:pPr>
    </w:p>
    <w:p w:rsidR="004B6D91" w:rsidRPr="007154F7" w:rsidRDefault="004B6D91" w:rsidP="007154F7">
      <w:pPr>
        <w:spacing w:after="0"/>
        <w:jc w:val="both"/>
        <w:rPr>
          <w:rFonts w:ascii="Verdana" w:hAnsi="Verdana"/>
          <w:b/>
          <w:sz w:val="20"/>
          <w:szCs w:val="20"/>
        </w:rPr>
      </w:pPr>
      <w:r w:rsidRPr="007154F7">
        <w:rPr>
          <w:rFonts w:ascii="Verdana" w:hAnsi="Verdana"/>
          <w:b/>
          <w:sz w:val="20"/>
          <w:szCs w:val="20"/>
        </w:rPr>
        <w:t xml:space="preserve">Financování: </w:t>
      </w:r>
    </w:p>
    <w:p w:rsidR="004B6D91" w:rsidRPr="007154F7" w:rsidRDefault="004B6D91" w:rsidP="007154F7">
      <w:pPr>
        <w:spacing w:after="0"/>
        <w:jc w:val="both"/>
        <w:rPr>
          <w:rFonts w:ascii="Verdana" w:hAnsi="Verdana"/>
          <w:b/>
          <w:sz w:val="20"/>
          <w:szCs w:val="20"/>
        </w:rPr>
      </w:pPr>
    </w:p>
    <w:tbl>
      <w:tblPr>
        <w:tblW w:w="96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10"/>
        <w:gridCol w:w="1559"/>
        <w:gridCol w:w="1843"/>
        <w:gridCol w:w="1842"/>
      </w:tblGrid>
      <w:tr w:rsidR="007154F7" w:rsidRPr="007154F7" w:rsidTr="007154F7">
        <w:trPr>
          <w:trHeight w:val="288"/>
        </w:trPr>
        <w:tc>
          <w:tcPr>
            <w:tcW w:w="4410" w:type="dxa"/>
            <w:tcBorders>
              <w:top w:val="single" w:sz="4" w:space="0" w:color="auto"/>
              <w:left w:val="single" w:sz="4" w:space="0" w:color="auto"/>
              <w:bottom w:val="nil"/>
              <w:right w:val="single" w:sz="4" w:space="0" w:color="auto"/>
            </w:tcBorders>
            <w:shd w:val="clear" w:color="auto" w:fill="EEECE1"/>
            <w:noWrap/>
            <w:vAlign w:val="bottom"/>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Název položky</w:t>
            </w:r>
          </w:p>
        </w:tc>
        <w:tc>
          <w:tcPr>
            <w:tcW w:w="1559" w:type="dxa"/>
            <w:tcBorders>
              <w:top w:val="single" w:sz="4" w:space="0" w:color="auto"/>
              <w:left w:val="single" w:sz="4" w:space="0" w:color="auto"/>
              <w:bottom w:val="nil"/>
              <w:right w:val="single" w:sz="4" w:space="0" w:color="auto"/>
            </w:tcBorders>
            <w:shd w:val="clear" w:color="auto" w:fill="EEECE1"/>
            <w:noWrap/>
            <w:vAlign w:val="bottom"/>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Skutečnost</w:t>
            </w:r>
          </w:p>
        </w:tc>
        <w:tc>
          <w:tcPr>
            <w:tcW w:w="1843" w:type="dxa"/>
            <w:tcBorders>
              <w:top w:val="single" w:sz="4" w:space="0" w:color="auto"/>
              <w:left w:val="single" w:sz="4" w:space="0" w:color="auto"/>
              <w:bottom w:val="nil"/>
              <w:right w:val="single" w:sz="4" w:space="0" w:color="auto"/>
            </w:tcBorders>
            <w:shd w:val="clear" w:color="auto" w:fill="EEECE1"/>
            <w:noWrap/>
            <w:vAlign w:val="bottom"/>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Rozpočet</w:t>
            </w:r>
          </w:p>
        </w:tc>
        <w:tc>
          <w:tcPr>
            <w:tcW w:w="1842" w:type="dxa"/>
            <w:tcBorders>
              <w:top w:val="single" w:sz="4" w:space="0" w:color="auto"/>
              <w:left w:val="single" w:sz="4" w:space="0" w:color="auto"/>
              <w:bottom w:val="nil"/>
              <w:right w:val="single" w:sz="4" w:space="0" w:color="auto"/>
            </w:tcBorders>
            <w:shd w:val="clear" w:color="auto" w:fill="EEECE1"/>
            <w:noWrap/>
            <w:vAlign w:val="bottom"/>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Rozpočet</w:t>
            </w:r>
          </w:p>
        </w:tc>
      </w:tr>
      <w:tr w:rsidR="007154F7" w:rsidRPr="007154F7" w:rsidTr="007154F7">
        <w:trPr>
          <w:trHeight w:val="288"/>
        </w:trPr>
        <w:tc>
          <w:tcPr>
            <w:tcW w:w="4410" w:type="dxa"/>
            <w:tcBorders>
              <w:top w:val="nil"/>
              <w:left w:val="single" w:sz="4" w:space="0" w:color="auto"/>
              <w:bottom w:val="single" w:sz="4" w:space="0" w:color="auto"/>
              <w:right w:val="single" w:sz="4" w:space="0" w:color="auto"/>
            </w:tcBorders>
            <w:shd w:val="clear" w:color="auto" w:fill="EEECE1"/>
            <w:noWrap/>
            <w:vAlign w:val="bottom"/>
            <w:hideMark/>
          </w:tcPr>
          <w:p w:rsidR="004B6D91" w:rsidRPr="007154F7" w:rsidRDefault="004B6D91" w:rsidP="007154F7">
            <w:pPr>
              <w:spacing w:after="0"/>
              <w:jc w:val="both"/>
              <w:rPr>
                <w:rFonts w:ascii="Verdana" w:hAnsi="Verdana"/>
                <w:sz w:val="20"/>
                <w:szCs w:val="20"/>
              </w:rPr>
            </w:pPr>
          </w:p>
        </w:tc>
        <w:tc>
          <w:tcPr>
            <w:tcW w:w="1559" w:type="dxa"/>
            <w:tcBorders>
              <w:top w:val="nil"/>
              <w:left w:val="single" w:sz="4" w:space="0" w:color="auto"/>
              <w:bottom w:val="single" w:sz="4" w:space="0" w:color="auto"/>
              <w:right w:val="single" w:sz="4" w:space="0" w:color="auto"/>
            </w:tcBorders>
            <w:shd w:val="clear" w:color="auto" w:fill="EEECE1"/>
            <w:noWrap/>
            <w:vAlign w:val="bottom"/>
            <w:hideMark/>
          </w:tcPr>
          <w:p w:rsidR="004B6D91" w:rsidRPr="007154F7" w:rsidRDefault="004B6D91" w:rsidP="007154F7">
            <w:pPr>
              <w:spacing w:after="0"/>
              <w:jc w:val="both"/>
              <w:rPr>
                <w:rFonts w:ascii="Verdana" w:hAnsi="Verdana"/>
                <w:sz w:val="20"/>
                <w:szCs w:val="20"/>
              </w:rPr>
            </w:pPr>
          </w:p>
        </w:tc>
        <w:tc>
          <w:tcPr>
            <w:tcW w:w="1843" w:type="dxa"/>
            <w:tcBorders>
              <w:top w:val="nil"/>
              <w:left w:val="single" w:sz="4" w:space="0" w:color="auto"/>
              <w:bottom w:val="single" w:sz="4" w:space="0" w:color="auto"/>
              <w:right w:val="single" w:sz="4" w:space="0" w:color="auto"/>
            </w:tcBorders>
            <w:shd w:val="clear" w:color="auto" w:fill="EEECE1"/>
            <w:noWrap/>
            <w:vAlign w:val="bottom"/>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schválený</w:t>
            </w:r>
          </w:p>
        </w:tc>
        <w:tc>
          <w:tcPr>
            <w:tcW w:w="1842" w:type="dxa"/>
            <w:tcBorders>
              <w:top w:val="nil"/>
              <w:left w:val="single" w:sz="4" w:space="0" w:color="auto"/>
              <w:bottom w:val="single" w:sz="4" w:space="0" w:color="auto"/>
              <w:right w:val="single" w:sz="4" w:space="0" w:color="auto"/>
            </w:tcBorders>
            <w:shd w:val="clear" w:color="auto" w:fill="EEECE1"/>
            <w:noWrap/>
            <w:vAlign w:val="bottom"/>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po změnách</w:t>
            </w:r>
          </w:p>
        </w:tc>
      </w:tr>
      <w:tr w:rsidR="007154F7" w:rsidRPr="007154F7" w:rsidTr="007154F7">
        <w:trPr>
          <w:trHeight w:val="288"/>
        </w:trPr>
        <w:tc>
          <w:tcPr>
            <w:tcW w:w="4410" w:type="dxa"/>
            <w:tcBorders>
              <w:top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lastRenderedPageBreak/>
              <w:t>Změna stavu krátkodobých prostředků na BÚ</w:t>
            </w:r>
          </w:p>
        </w:tc>
        <w:tc>
          <w:tcPr>
            <w:tcW w:w="1559" w:type="dxa"/>
            <w:tcBorders>
              <w:top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-75 599 224,49</w:t>
            </w:r>
          </w:p>
        </w:tc>
        <w:tc>
          <w:tcPr>
            <w:tcW w:w="1843" w:type="dxa"/>
            <w:tcBorders>
              <w:top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25 000 000,00</w:t>
            </w:r>
          </w:p>
        </w:tc>
        <w:tc>
          <w:tcPr>
            <w:tcW w:w="1842" w:type="dxa"/>
            <w:tcBorders>
              <w:top w:val="single" w:sz="4" w:space="0" w:color="auto"/>
            </w:tcBorders>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-13 612 366,81</w:t>
            </w:r>
          </w:p>
        </w:tc>
      </w:tr>
      <w:tr w:rsidR="007154F7" w:rsidRPr="007154F7" w:rsidTr="007154F7">
        <w:trPr>
          <w:trHeight w:val="288"/>
        </w:trPr>
        <w:tc>
          <w:tcPr>
            <w:tcW w:w="4410" w:type="dxa"/>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Dlouhodobé přijaté půjčené prostředky</w:t>
            </w:r>
          </w:p>
        </w:tc>
        <w:tc>
          <w:tcPr>
            <w:tcW w:w="1559" w:type="dxa"/>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92 016 984,39</w:t>
            </w:r>
          </w:p>
        </w:tc>
        <w:tc>
          <w:tcPr>
            <w:tcW w:w="1843" w:type="dxa"/>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86 617 000,00</w:t>
            </w:r>
          </w:p>
        </w:tc>
        <w:tc>
          <w:tcPr>
            <w:tcW w:w="1842" w:type="dxa"/>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92 016 984,00</w:t>
            </w:r>
          </w:p>
        </w:tc>
      </w:tr>
      <w:tr w:rsidR="007154F7" w:rsidRPr="007154F7" w:rsidTr="007154F7">
        <w:trPr>
          <w:trHeight w:val="288"/>
        </w:trPr>
        <w:tc>
          <w:tcPr>
            <w:tcW w:w="4410" w:type="dxa"/>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Splátky úvěrů</w:t>
            </w:r>
          </w:p>
        </w:tc>
        <w:tc>
          <w:tcPr>
            <w:tcW w:w="1559" w:type="dxa"/>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-24 010 612,76</w:t>
            </w:r>
          </w:p>
        </w:tc>
        <w:tc>
          <w:tcPr>
            <w:tcW w:w="1843" w:type="dxa"/>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-24 013 000,00</w:t>
            </w:r>
          </w:p>
        </w:tc>
        <w:tc>
          <w:tcPr>
            <w:tcW w:w="1842" w:type="dxa"/>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-24 013 000,00</w:t>
            </w:r>
          </w:p>
        </w:tc>
      </w:tr>
      <w:tr w:rsidR="007154F7" w:rsidRPr="007154F7" w:rsidTr="007154F7">
        <w:trPr>
          <w:trHeight w:val="288"/>
        </w:trPr>
        <w:tc>
          <w:tcPr>
            <w:tcW w:w="4410" w:type="dxa"/>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Změna stavu dlouhodobých prostředků na BÚ</w:t>
            </w:r>
          </w:p>
        </w:tc>
        <w:tc>
          <w:tcPr>
            <w:tcW w:w="1559" w:type="dxa"/>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16 700,23</w:t>
            </w:r>
          </w:p>
        </w:tc>
        <w:tc>
          <w:tcPr>
            <w:tcW w:w="1843" w:type="dxa"/>
            <w:shd w:val="clear" w:color="auto" w:fill="auto"/>
            <w:noWrap/>
            <w:hideMark/>
          </w:tcPr>
          <w:p w:rsidR="004B6D91" w:rsidRPr="007154F7" w:rsidRDefault="004B6D91" w:rsidP="007154F7">
            <w:pPr>
              <w:spacing w:after="0"/>
              <w:jc w:val="both"/>
              <w:rPr>
                <w:rFonts w:ascii="Verdana" w:hAnsi="Verdana"/>
                <w:sz w:val="20"/>
                <w:szCs w:val="20"/>
              </w:rPr>
            </w:pPr>
          </w:p>
        </w:tc>
        <w:tc>
          <w:tcPr>
            <w:tcW w:w="1842" w:type="dxa"/>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142 985,50</w:t>
            </w:r>
          </w:p>
        </w:tc>
      </w:tr>
      <w:tr w:rsidR="007154F7" w:rsidRPr="007154F7" w:rsidTr="007154F7">
        <w:trPr>
          <w:trHeight w:val="288"/>
        </w:trPr>
        <w:tc>
          <w:tcPr>
            <w:tcW w:w="4410" w:type="dxa"/>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Stav, který odráží zůstatek devizové pokladny</w:t>
            </w:r>
          </w:p>
        </w:tc>
        <w:tc>
          <w:tcPr>
            <w:tcW w:w="1559" w:type="dxa"/>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-12 882,87</w:t>
            </w:r>
          </w:p>
        </w:tc>
        <w:tc>
          <w:tcPr>
            <w:tcW w:w="1843" w:type="dxa"/>
            <w:shd w:val="clear" w:color="auto" w:fill="auto"/>
            <w:noWrap/>
            <w:hideMark/>
          </w:tcPr>
          <w:p w:rsidR="004B6D91" w:rsidRPr="007154F7" w:rsidRDefault="004B6D91" w:rsidP="007154F7">
            <w:pPr>
              <w:spacing w:after="0"/>
              <w:jc w:val="both"/>
              <w:rPr>
                <w:rFonts w:ascii="Verdana" w:hAnsi="Verdana"/>
                <w:sz w:val="20"/>
                <w:szCs w:val="20"/>
              </w:rPr>
            </w:pPr>
          </w:p>
        </w:tc>
        <w:tc>
          <w:tcPr>
            <w:tcW w:w="1842" w:type="dxa"/>
            <w:shd w:val="clear" w:color="auto" w:fill="auto"/>
            <w:noWrap/>
            <w:hideMark/>
          </w:tcPr>
          <w:p w:rsidR="004B6D91" w:rsidRPr="007154F7" w:rsidRDefault="004B6D91" w:rsidP="007154F7">
            <w:pPr>
              <w:spacing w:after="0"/>
              <w:jc w:val="both"/>
              <w:rPr>
                <w:rFonts w:ascii="Verdana" w:hAnsi="Verdana"/>
                <w:sz w:val="20"/>
                <w:szCs w:val="20"/>
              </w:rPr>
            </w:pPr>
          </w:p>
        </w:tc>
      </w:tr>
      <w:tr w:rsidR="007154F7" w:rsidRPr="007154F7" w:rsidTr="007154F7">
        <w:trPr>
          <w:trHeight w:val="288"/>
        </w:trPr>
        <w:tc>
          <w:tcPr>
            <w:tcW w:w="4410" w:type="dxa"/>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Přenesená daňová povinnost</w:t>
            </w:r>
          </w:p>
        </w:tc>
        <w:tc>
          <w:tcPr>
            <w:tcW w:w="1559" w:type="dxa"/>
            <w:shd w:val="clear" w:color="auto" w:fill="auto"/>
            <w:noWrap/>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1 550 068,09</w:t>
            </w:r>
          </w:p>
        </w:tc>
        <w:tc>
          <w:tcPr>
            <w:tcW w:w="1843" w:type="dxa"/>
            <w:shd w:val="clear" w:color="auto" w:fill="auto"/>
            <w:noWrap/>
            <w:hideMark/>
          </w:tcPr>
          <w:p w:rsidR="004B6D91" w:rsidRPr="007154F7" w:rsidRDefault="004B6D91" w:rsidP="007154F7">
            <w:pPr>
              <w:spacing w:after="0"/>
              <w:jc w:val="both"/>
              <w:rPr>
                <w:rFonts w:ascii="Verdana" w:hAnsi="Verdana"/>
                <w:sz w:val="20"/>
                <w:szCs w:val="20"/>
              </w:rPr>
            </w:pPr>
          </w:p>
        </w:tc>
        <w:tc>
          <w:tcPr>
            <w:tcW w:w="1842" w:type="dxa"/>
            <w:shd w:val="clear" w:color="auto" w:fill="auto"/>
            <w:noWrap/>
            <w:hideMark/>
          </w:tcPr>
          <w:p w:rsidR="004B6D91" w:rsidRPr="007154F7" w:rsidRDefault="004B6D91" w:rsidP="007154F7">
            <w:pPr>
              <w:spacing w:after="0"/>
              <w:jc w:val="both"/>
              <w:rPr>
                <w:rFonts w:ascii="Verdana" w:hAnsi="Verdana"/>
                <w:sz w:val="20"/>
                <w:szCs w:val="20"/>
              </w:rPr>
            </w:pPr>
          </w:p>
        </w:tc>
      </w:tr>
      <w:tr w:rsidR="004B6D91" w:rsidRPr="007154F7" w:rsidTr="007154F7">
        <w:trPr>
          <w:trHeight w:val="288"/>
        </w:trPr>
        <w:tc>
          <w:tcPr>
            <w:tcW w:w="4410" w:type="dxa"/>
            <w:shd w:val="clear" w:color="auto" w:fill="auto"/>
            <w:noWrap/>
            <w:hideMark/>
          </w:tcPr>
          <w:p w:rsidR="004B6D91" w:rsidRPr="007154F7" w:rsidRDefault="004B6D91" w:rsidP="007154F7">
            <w:pPr>
              <w:shd w:val="clear" w:color="auto" w:fill="EEECE1"/>
              <w:spacing w:after="0"/>
              <w:jc w:val="both"/>
              <w:rPr>
                <w:rFonts w:ascii="Verdana" w:hAnsi="Verdana"/>
                <w:b/>
                <w:bCs/>
                <w:sz w:val="20"/>
                <w:szCs w:val="20"/>
              </w:rPr>
            </w:pPr>
            <w:r w:rsidRPr="007154F7">
              <w:rPr>
                <w:rFonts w:ascii="Verdana" w:hAnsi="Verdana"/>
                <w:b/>
                <w:bCs/>
                <w:sz w:val="20"/>
                <w:szCs w:val="20"/>
              </w:rPr>
              <w:t>FINANCOVÁNÍ CELKEM</w:t>
            </w:r>
          </w:p>
        </w:tc>
        <w:tc>
          <w:tcPr>
            <w:tcW w:w="1559" w:type="dxa"/>
            <w:shd w:val="clear" w:color="auto" w:fill="auto"/>
            <w:noWrap/>
            <w:hideMark/>
          </w:tcPr>
          <w:p w:rsidR="004B6D91" w:rsidRPr="007154F7" w:rsidRDefault="004B6D91" w:rsidP="007154F7">
            <w:pPr>
              <w:shd w:val="clear" w:color="auto" w:fill="EEECE1"/>
              <w:spacing w:after="0"/>
              <w:jc w:val="both"/>
              <w:rPr>
                <w:rFonts w:ascii="Verdana" w:hAnsi="Verdana"/>
                <w:b/>
                <w:sz w:val="20"/>
                <w:szCs w:val="20"/>
              </w:rPr>
            </w:pPr>
            <w:r w:rsidRPr="007154F7">
              <w:rPr>
                <w:rFonts w:ascii="Verdana" w:hAnsi="Verdana"/>
                <w:b/>
                <w:sz w:val="20"/>
                <w:szCs w:val="20"/>
              </w:rPr>
              <w:t>-6 038 967,41</w:t>
            </w:r>
          </w:p>
        </w:tc>
        <w:tc>
          <w:tcPr>
            <w:tcW w:w="1843" w:type="dxa"/>
            <w:shd w:val="clear" w:color="auto" w:fill="auto"/>
            <w:noWrap/>
            <w:hideMark/>
          </w:tcPr>
          <w:p w:rsidR="004B6D91" w:rsidRPr="007154F7" w:rsidRDefault="004B6D91" w:rsidP="007154F7">
            <w:pPr>
              <w:shd w:val="clear" w:color="auto" w:fill="EEECE1"/>
              <w:spacing w:after="0"/>
              <w:jc w:val="both"/>
              <w:rPr>
                <w:rFonts w:ascii="Verdana" w:hAnsi="Verdana"/>
                <w:b/>
                <w:sz w:val="20"/>
                <w:szCs w:val="20"/>
              </w:rPr>
            </w:pPr>
            <w:r w:rsidRPr="007154F7">
              <w:rPr>
                <w:rFonts w:ascii="Verdana" w:hAnsi="Verdana"/>
                <w:b/>
                <w:sz w:val="20"/>
                <w:szCs w:val="20"/>
              </w:rPr>
              <w:t>87 604 000,00</w:t>
            </w:r>
          </w:p>
        </w:tc>
        <w:tc>
          <w:tcPr>
            <w:tcW w:w="1842" w:type="dxa"/>
            <w:shd w:val="clear" w:color="auto" w:fill="auto"/>
            <w:noWrap/>
            <w:hideMark/>
          </w:tcPr>
          <w:p w:rsidR="004B6D91" w:rsidRPr="007154F7" w:rsidRDefault="004B6D91" w:rsidP="007154F7">
            <w:pPr>
              <w:shd w:val="clear" w:color="auto" w:fill="EEECE1"/>
              <w:spacing w:after="0"/>
              <w:jc w:val="both"/>
              <w:rPr>
                <w:rFonts w:ascii="Verdana" w:hAnsi="Verdana"/>
                <w:b/>
                <w:sz w:val="20"/>
                <w:szCs w:val="20"/>
              </w:rPr>
            </w:pPr>
            <w:r w:rsidRPr="007154F7">
              <w:rPr>
                <w:rFonts w:ascii="Verdana" w:hAnsi="Verdana"/>
                <w:b/>
                <w:sz w:val="20"/>
                <w:szCs w:val="20"/>
              </w:rPr>
              <w:t>54 534 602,69</w:t>
            </w:r>
          </w:p>
        </w:tc>
      </w:tr>
    </w:tbl>
    <w:p w:rsidR="004B6D91" w:rsidRPr="007154F7" w:rsidRDefault="004B6D91" w:rsidP="007154F7">
      <w:pPr>
        <w:spacing w:after="0"/>
        <w:jc w:val="both"/>
        <w:rPr>
          <w:rFonts w:ascii="Verdana" w:hAnsi="Verdana"/>
          <w:b/>
          <w:sz w:val="20"/>
          <w:szCs w:val="20"/>
        </w:rPr>
      </w:pPr>
    </w:p>
    <w:p w:rsidR="004B6D91" w:rsidRPr="007154F7" w:rsidRDefault="004B6D91" w:rsidP="007154F7">
      <w:pPr>
        <w:shd w:val="clear" w:color="auto" w:fill="DBE5F1"/>
        <w:spacing w:after="0"/>
        <w:jc w:val="both"/>
        <w:rPr>
          <w:rFonts w:ascii="Verdana" w:hAnsi="Verdana"/>
          <w:sz w:val="20"/>
          <w:szCs w:val="20"/>
        </w:rPr>
      </w:pPr>
      <w:r w:rsidRPr="007154F7">
        <w:rPr>
          <w:rFonts w:ascii="Verdana" w:hAnsi="Verdana"/>
          <w:b/>
          <w:sz w:val="20"/>
          <w:szCs w:val="20"/>
          <w:u w:val="single"/>
        </w:rPr>
        <w:t>Plnění rozpočtu k </w:t>
      </w:r>
      <w:proofErr w:type="gramStart"/>
      <w:r w:rsidRPr="007154F7">
        <w:rPr>
          <w:rFonts w:ascii="Verdana" w:hAnsi="Verdana"/>
          <w:b/>
          <w:sz w:val="20"/>
          <w:szCs w:val="20"/>
          <w:u w:val="single"/>
        </w:rPr>
        <w:t>31.3. 2020</w:t>
      </w:r>
      <w:proofErr w:type="gramEnd"/>
      <w:r w:rsidRPr="007154F7">
        <w:rPr>
          <w:rFonts w:ascii="Verdana" w:hAnsi="Verdana"/>
          <w:b/>
          <w:sz w:val="20"/>
          <w:szCs w:val="20"/>
          <w:u w:val="single"/>
        </w:rPr>
        <w:t xml:space="preserve"> </w:t>
      </w:r>
      <w:r w:rsidRPr="007154F7">
        <w:rPr>
          <w:rFonts w:ascii="Verdana" w:hAnsi="Verdana"/>
          <w:sz w:val="20"/>
          <w:szCs w:val="20"/>
        </w:rPr>
        <w:t xml:space="preserve"> </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Město Kutná Hora hospodařilo od 1. 1. 2020 podle schváleného rozpočtu. K 31. 3. 2020 byly do příjmové a výdajové části rozpočtu promítnuty veškeré rozpočtové změny, které schválila rada města a zastupitelstvo města.</w:t>
      </w:r>
    </w:p>
    <w:p w:rsidR="004B6D91" w:rsidRPr="007154F7" w:rsidRDefault="004B6D91" w:rsidP="007154F7">
      <w:pPr>
        <w:spacing w:after="0"/>
        <w:jc w:val="both"/>
        <w:rPr>
          <w:rFonts w:ascii="Verdana" w:hAnsi="Verdana"/>
          <w:sz w:val="20"/>
          <w:szCs w:val="20"/>
        </w:rPr>
      </w:pPr>
    </w:p>
    <w:p w:rsidR="004B6D91" w:rsidRPr="007154F7" w:rsidRDefault="004B6D91" w:rsidP="007154F7">
      <w:pPr>
        <w:spacing w:after="0"/>
        <w:jc w:val="both"/>
        <w:rPr>
          <w:rFonts w:ascii="Verdana" w:hAnsi="Verdana"/>
          <w:sz w:val="20"/>
          <w:szCs w:val="20"/>
        </w:rPr>
      </w:pPr>
      <w:r w:rsidRPr="007154F7">
        <w:rPr>
          <w:rFonts w:ascii="Verdana" w:hAnsi="Verdana"/>
          <w:b/>
          <w:sz w:val="20"/>
          <w:szCs w:val="20"/>
        </w:rPr>
        <w:t xml:space="preserve">Rozpočtové hospodaření dle tříd </w:t>
      </w:r>
    </w:p>
    <w:tbl>
      <w:tblPr>
        <w:tblW w:w="9564" w:type="dxa"/>
        <w:tblInd w:w="55" w:type="dxa"/>
        <w:tblCellMar>
          <w:left w:w="70" w:type="dxa"/>
          <w:right w:w="70" w:type="dxa"/>
        </w:tblCellMar>
        <w:tblLook w:val="04A0" w:firstRow="1" w:lastRow="0" w:firstColumn="1" w:lastColumn="0" w:noHBand="0" w:noVBand="1"/>
      </w:tblPr>
      <w:tblGrid>
        <w:gridCol w:w="2425"/>
        <w:gridCol w:w="1884"/>
        <w:gridCol w:w="1985"/>
        <w:gridCol w:w="1984"/>
        <w:gridCol w:w="782"/>
        <w:gridCol w:w="782"/>
      </w:tblGrid>
      <w:tr w:rsidR="007154F7" w:rsidRPr="007154F7" w:rsidTr="007154F7">
        <w:trPr>
          <w:trHeight w:val="576"/>
        </w:trPr>
        <w:tc>
          <w:tcPr>
            <w:tcW w:w="2425"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Třída</w:t>
            </w:r>
          </w:p>
        </w:tc>
        <w:tc>
          <w:tcPr>
            <w:tcW w:w="1884" w:type="dxa"/>
            <w:tcBorders>
              <w:top w:val="single" w:sz="4" w:space="0" w:color="auto"/>
              <w:left w:val="nil"/>
              <w:bottom w:val="single" w:sz="4" w:space="0" w:color="auto"/>
              <w:right w:val="single" w:sz="4" w:space="0" w:color="auto"/>
            </w:tcBorders>
            <w:shd w:val="clear" w:color="auto" w:fill="EEECE1"/>
            <w:noWrap/>
            <w:vAlign w:val="center"/>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Skutečnost</w:t>
            </w:r>
          </w:p>
        </w:tc>
        <w:tc>
          <w:tcPr>
            <w:tcW w:w="1985" w:type="dxa"/>
            <w:tcBorders>
              <w:top w:val="single" w:sz="4" w:space="0" w:color="auto"/>
              <w:left w:val="nil"/>
              <w:bottom w:val="single" w:sz="4" w:space="0" w:color="auto"/>
              <w:right w:val="single" w:sz="4" w:space="0" w:color="auto"/>
            </w:tcBorders>
            <w:shd w:val="clear" w:color="auto" w:fill="EEECE1"/>
            <w:vAlign w:val="center"/>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Schválený rozpočet</w:t>
            </w:r>
          </w:p>
        </w:tc>
        <w:tc>
          <w:tcPr>
            <w:tcW w:w="1984" w:type="dxa"/>
            <w:tcBorders>
              <w:top w:val="single" w:sz="4" w:space="0" w:color="auto"/>
              <w:left w:val="nil"/>
              <w:bottom w:val="single" w:sz="4" w:space="0" w:color="auto"/>
              <w:right w:val="single" w:sz="4" w:space="0" w:color="auto"/>
            </w:tcBorders>
            <w:shd w:val="clear" w:color="auto" w:fill="EEECE1"/>
            <w:vAlign w:val="center"/>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Rozpočet po změnách</w:t>
            </w:r>
          </w:p>
        </w:tc>
        <w:tc>
          <w:tcPr>
            <w:tcW w:w="643" w:type="dxa"/>
            <w:tcBorders>
              <w:top w:val="single" w:sz="4" w:space="0" w:color="auto"/>
              <w:left w:val="nil"/>
              <w:bottom w:val="single" w:sz="4" w:space="0" w:color="auto"/>
              <w:right w:val="single" w:sz="4" w:space="0" w:color="auto"/>
            </w:tcBorders>
            <w:shd w:val="clear" w:color="auto" w:fill="EEECE1"/>
            <w:noWrap/>
            <w:vAlign w:val="center"/>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 SR</w:t>
            </w:r>
          </w:p>
        </w:tc>
        <w:tc>
          <w:tcPr>
            <w:tcW w:w="643" w:type="dxa"/>
            <w:tcBorders>
              <w:top w:val="single" w:sz="4" w:space="0" w:color="auto"/>
              <w:left w:val="nil"/>
              <w:bottom w:val="single" w:sz="4" w:space="0" w:color="auto"/>
              <w:right w:val="single" w:sz="4" w:space="0" w:color="auto"/>
            </w:tcBorders>
            <w:shd w:val="clear" w:color="auto" w:fill="EEECE1"/>
            <w:noWrap/>
            <w:vAlign w:val="center"/>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 UR</w:t>
            </w:r>
          </w:p>
        </w:tc>
      </w:tr>
      <w:tr w:rsidR="007154F7" w:rsidRPr="007154F7" w:rsidTr="007154F7">
        <w:trPr>
          <w:trHeight w:val="288"/>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1-DAŇOVÉ PŘÍJMY</w:t>
            </w:r>
          </w:p>
        </w:tc>
        <w:tc>
          <w:tcPr>
            <w:tcW w:w="1884"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86 439 635,62</w:t>
            </w:r>
          </w:p>
        </w:tc>
        <w:tc>
          <w:tcPr>
            <w:tcW w:w="1985"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361 893 777,94</w:t>
            </w:r>
          </w:p>
        </w:tc>
        <w:tc>
          <w:tcPr>
            <w:tcW w:w="1984"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361 893 777,94</w:t>
            </w:r>
          </w:p>
        </w:tc>
        <w:tc>
          <w:tcPr>
            <w:tcW w:w="643"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23,89</w:t>
            </w:r>
          </w:p>
        </w:tc>
        <w:tc>
          <w:tcPr>
            <w:tcW w:w="643"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23,89</w:t>
            </w:r>
          </w:p>
        </w:tc>
      </w:tr>
      <w:tr w:rsidR="007154F7" w:rsidRPr="007154F7" w:rsidTr="007154F7">
        <w:trPr>
          <w:trHeight w:val="288"/>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2-NEDAŇOVÉ PŘÍJMY</w:t>
            </w:r>
          </w:p>
        </w:tc>
        <w:tc>
          <w:tcPr>
            <w:tcW w:w="1884"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20 801 542,24</w:t>
            </w:r>
          </w:p>
        </w:tc>
        <w:tc>
          <w:tcPr>
            <w:tcW w:w="1985"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66 862 100,00</w:t>
            </w:r>
          </w:p>
        </w:tc>
        <w:tc>
          <w:tcPr>
            <w:tcW w:w="1984"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66 862 100,00</w:t>
            </w:r>
          </w:p>
        </w:tc>
        <w:tc>
          <w:tcPr>
            <w:tcW w:w="643"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31,11</w:t>
            </w:r>
          </w:p>
        </w:tc>
        <w:tc>
          <w:tcPr>
            <w:tcW w:w="643"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31,11</w:t>
            </w:r>
          </w:p>
        </w:tc>
      </w:tr>
      <w:tr w:rsidR="007154F7" w:rsidRPr="007154F7" w:rsidTr="007154F7">
        <w:trPr>
          <w:trHeight w:val="288"/>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3-KAPITÁLOVÉ PŘÍJMY</w:t>
            </w:r>
          </w:p>
        </w:tc>
        <w:tc>
          <w:tcPr>
            <w:tcW w:w="1884"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746 015,00</w:t>
            </w:r>
          </w:p>
        </w:tc>
        <w:tc>
          <w:tcPr>
            <w:tcW w:w="1985"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4 200 000,00</w:t>
            </w:r>
          </w:p>
        </w:tc>
        <w:tc>
          <w:tcPr>
            <w:tcW w:w="1984"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4 200 000,00</w:t>
            </w:r>
          </w:p>
        </w:tc>
        <w:tc>
          <w:tcPr>
            <w:tcW w:w="643"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17,76</w:t>
            </w:r>
          </w:p>
        </w:tc>
        <w:tc>
          <w:tcPr>
            <w:tcW w:w="643"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17,76</w:t>
            </w:r>
          </w:p>
        </w:tc>
      </w:tr>
      <w:tr w:rsidR="007154F7" w:rsidRPr="007154F7" w:rsidTr="007154F7">
        <w:trPr>
          <w:trHeight w:val="288"/>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4-PŘIJATÉ TRANSFERY</w:t>
            </w:r>
          </w:p>
        </w:tc>
        <w:tc>
          <w:tcPr>
            <w:tcW w:w="1884"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17 646 976,21</w:t>
            </w:r>
          </w:p>
        </w:tc>
        <w:tc>
          <w:tcPr>
            <w:tcW w:w="1985"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106 699 772,06</w:t>
            </w:r>
          </w:p>
        </w:tc>
        <w:tc>
          <w:tcPr>
            <w:tcW w:w="1984"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117 759 046,21</w:t>
            </w:r>
          </w:p>
        </w:tc>
        <w:tc>
          <w:tcPr>
            <w:tcW w:w="643"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16,54</w:t>
            </w:r>
          </w:p>
        </w:tc>
        <w:tc>
          <w:tcPr>
            <w:tcW w:w="643"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14,99</w:t>
            </w:r>
          </w:p>
        </w:tc>
      </w:tr>
      <w:tr w:rsidR="007154F7" w:rsidRPr="007154F7" w:rsidTr="007154F7">
        <w:trPr>
          <w:trHeight w:val="288"/>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CELKEM PŘÍJMY</w:t>
            </w:r>
          </w:p>
        </w:tc>
        <w:tc>
          <w:tcPr>
            <w:tcW w:w="1884"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125 634 169,07</w:t>
            </w:r>
          </w:p>
        </w:tc>
        <w:tc>
          <w:tcPr>
            <w:tcW w:w="1985"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539 655 650,00</w:t>
            </w:r>
          </w:p>
        </w:tc>
        <w:tc>
          <w:tcPr>
            <w:tcW w:w="1984"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550 714 924,15</w:t>
            </w:r>
          </w:p>
        </w:tc>
        <w:tc>
          <w:tcPr>
            <w:tcW w:w="643"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23,28</w:t>
            </w:r>
          </w:p>
        </w:tc>
        <w:tc>
          <w:tcPr>
            <w:tcW w:w="643"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22,81</w:t>
            </w:r>
          </w:p>
        </w:tc>
      </w:tr>
    </w:tbl>
    <w:p w:rsidR="004B6D91" w:rsidRPr="007154F7" w:rsidRDefault="004B6D91" w:rsidP="007154F7">
      <w:pPr>
        <w:spacing w:after="0"/>
        <w:jc w:val="both"/>
        <w:rPr>
          <w:rFonts w:ascii="Verdana" w:hAnsi="Verdana"/>
          <w:sz w:val="20"/>
          <w:szCs w:val="20"/>
        </w:rPr>
      </w:pPr>
    </w:p>
    <w:p w:rsidR="004B6D91" w:rsidRPr="007154F7" w:rsidRDefault="004B6D91" w:rsidP="007154F7">
      <w:pPr>
        <w:spacing w:after="0"/>
        <w:jc w:val="both"/>
        <w:rPr>
          <w:rFonts w:ascii="Verdana" w:hAnsi="Verdana"/>
          <w:sz w:val="20"/>
          <w:szCs w:val="20"/>
        </w:rPr>
      </w:pPr>
      <w:r w:rsidRPr="007154F7">
        <w:rPr>
          <w:rFonts w:ascii="Verdana" w:hAnsi="Verdana"/>
          <w:b/>
          <w:sz w:val="20"/>
          <w:szCs w:val="20"/>
        </w:rPr>
        <w:t>Rozklad daňových příjmů za vybrané položky</w:t>
      </w:r>
    </w:p>
    <w:tbl>
      <w:tblPr>
        <w:tblW w:w="9635" w:type="dxa"/>
        <w:tblInd w:w="55" w:type="dxa"/>
        <w:tblCellMar>
          <w:left w:w="70" w:type="dxa"/>
          <w:right w:w="70" w:type="dxa"/>
        </w:tblCellMar>
        <w:tblLook w:val="04A0" w:firstRow="1" w:lastRow="0" w:firstColumn="1" w:lastColumn="0" w:noHBand="0" w:noVBand="1"/>
      </w:tblPr>
      <w:tblGrid>
        <w:gridCol w:w="2425"/>
        <w:gridCol w:w="1843"/>
        <w:gridCol w:w="1984"/>
        <w:gridCol w:w="2101"/>
        <w:gridCol w:w="722"/>
        <w:gridCol w:w="722"/>
      </w:tblGrid>
      <w:tr w:rsidR="007154F7" w:rsidRPr="007154F7" w:rsidTr="007154F7">
        <w:trPr>
          <w:trHeight w:val="576"/>
        </w:trPr>
        <w:tc>
          <w:tcPr>
            <w:tcW w:w="2425"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Třída</w:t>
            </w:r>
          </w:p>
        </w:tc>
        <w:tc>
          <w:tcPr>
            <w:tcW w:w="1843" w:type="dxa"/>
            <w:tcBorders>
              <w:top w:val="single" w:sz="4" w:space="0" w:color="auto"/>
              <w:left w:val="nil"/>
              <w:bottom w:val="single" w:sz="4" w:space="0" w:color="auto"/>
              <w:right w:val="single" w:sz="4" w:space="0" w:color="auto"/>
            </w:tcBorders>
            <w:shd w:val="clear" w:color="auto" w:fill="EEECE1"/>
            <w:noWrap/>
            <w:vAlign w:val="center"/>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Skutečnost</w:t>
            </w:r>
          </w:p>
        </w:tc>
        <w:tc>
          <w:tcPr>
            <w:tcW w:w="1984" w:type="dxa"/>
            <w:tcBorders>
              <w:top w:val="single" w:sz="4" w:space="0" w:color="auto"/>
              <w:left w:val="nil"/>
              <w:bottom w:val="single" w:sz="4" w:space="0" w:color="auto"/>
              <w:right w:val="single" w:sz="4" w:space="0" w:color="auto"/>
            </w:tcBorders>
            <w:shd w:val="clear" w:color="auto" w:fill="EEECE1"/>
            <w:vAlign w:val="center"/>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Schválený rozpočet</w:t>
            </w:r>
          </w:p>
        </w:tc>
        <w:tc>
          <w:tcPr>
            <w:tcW w:w="2101" w:type="dxa"/>
            <w:tcBorders>
              <w:top w:val="single" w:sz="4" w:space="0" w:color="auto"/>
              <w:left w:val="nil"/>
              <w:bottom w:val="single" w:sz="4" w:space="0" w:color="auto"/>
              <w:right w:val="single" w:sz="4" w:space="0" w:color="auto"/>
            </w:tcBorders>
            <w:shd w:val="clear" w:color="auto" w:fill="EEECE1"/>
            <w:vAlign w:val="center"/>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Rozpočet po změnách</w:t>
            </w:r>
          </w:p>
        </w:tc>
        <w:tc>
          <w:tcPr>
            <w:tcW w:w="641" w:type="dxa"/>
            <w:tcBorders>
              <w:top w:val="single" w:sz="4" w:space="0" w:color="auto"/>
              <w:left w:val="nil"/>
              <w:bottom w:val="single" w:sz="4" w:space="0" w:color="auto"/>
              <w:right w:val="single" w:sz="4" w:space="0" w:color="auto"/>
            </w:tcBorders>
            <w:shd w:val="clear" w:color="auto" w:fill="EEECE1"/>
            <w:noWrap/>
            <w:vAlign w:val="center"/>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 SR</w:t>
            </w:r>
          </w:p>
        </w:tc>
        <w:tc>
          <w:tcPr>
            <w:tcW w:w="641" w:type="dxa"/>
            <w:tcBorders>
              <w:top w:val="single" w:sz="4" w:space="0" w:color="auto"/>
              <w:left w:val="nil"/>
              <w:bottom w:val="single" w:sz="4" w:space="0" w:color="auto"/>
              <w:right w:val="single" w:sz="4" w:space="0" w:color="auto"/>
            </w:tcBorders>
            <w:shd w:val="clear" w:color="auto" w:fill="EEECE1"/>
            <w:noWrap/>
            <w:vAlign w:val="center"/>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 UR</w:t>
            </w:r>
          </w:p>
        </w:tc>
      </w:tr>
      <w:tr w:rsidR="007154F7" w:rsidRPr="007154F7" w:rsidTr="007154F7">
        <w:trPr>
          <w:trHeight w:val="288"/>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Sdílené daně</w:t>
            </w:r>
          </w:p>
        </w:tc>
        <w:tc>
          <w:tcPr>
            <w:tcW w:w="1843"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72 691 361,86</w:t>
            </w:r>
          </w:p>
        </w:tc>
        <w:tc>
          <w:tcPr>
            <w:tcW w:w="1984"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290 525 577,94</w:t>
            </w:r>
          </w:p>
        </w:tc>
        <w:tc>
          <w:tcPr>
            <w:tcW w:w="2101"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290 525 577,94</w:t>
            </w:r>
          </w:p>
        </w:tc>
        <w:tc>
          <w:tcPr>
            <w:tcW w:w="641"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25,02</w:t>
            </w:r>
          </w:p>
        </w:tc>
        <w:tc>
          <w:tcPr>
            <w:tcW w:w="641"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25,02</w:t>
            </w:r>
          </w:p>
        </w:tc>
      </w:tr>
      <w:tr w:rsidR="007154F7" w:rsidRPr="007154F7" w:rsidTr="007154F7">
        <w:trPr>
          <w:trHeight w:val="288"/>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Místní poplatky</w:t>
            </w:r>
          </w:p>
        </w:tc>
        <w:tc>
          <w:tcPr>
            <w:tcW w:w="1843"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2 718 670,44</w:t>
            </w:r>
          </w:p>
        </w:tc>
        <w:tc>
          <w:tcPr>
            <w:tcW w:w="1984"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15 629 000,00</w:t>
            </w:r>
          </w:p>
        </w:tc>
        <w:tc>
          <w:tcPr>
            <w:tcW w:w="2101"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15 629 000,00</w:t>
            </w:r>
          </w:p>
        </w:tc>
        <w:tc>
          <w:tcPr>
            <w:tcW w:w="641"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17,40</w:t>
            </w:r>
          </w:p>
        </w:tc>
        <w:tc>
          <w:tcPr>
            <w:tcW w:w="641"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17,40</w:t>
            </w:r>
          </w:p>
        </w:tc>
      </w:tr>
      <w:tr w:rsidR="007154F7" w:rsidRPr="007154F7" w:rsidTr="007154F7">
        <w:trPr>
          <w:trHeight w:val="288"/>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Správní poplatky</w:t>
            </w:r>
          </w:p>
        </w:tc>
        <w:tc>
          <w:tcPr>
            <w:tcW w:w="1843"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2 300 350,00</w:t>
            </w:r>
          </w:p>
        </w:tc>
        <w:tc>
          <w:tcPr>
            <w:tcW w:w="1984"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9 539 200,00</w:t>
            </w:r>
          </w:p>
        </w:tc>
        <w:tc>
          <w:tcPr>
            <w:tcW w:w="2101"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9 539 200,00</w:t>
            </w:r>
          </w:p>
        </w:tc>
        <w:tc>
          <w:tcPr>
            <w:tcW w:w="641"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24,11</w:t>
            </w:r>
          </w:p>
        </w:tc>
        <w:tc>
          <w:tcPr>
            <w:tcW w:w="641"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24,11</w:t>
            </w:r>
          </w:p>
        </w:tc>
      </w:tr>
      <w:tr w:rsidR="007154F7" w:rsidRPr="007154F7" w:rsidTr="007154F7">
        <w:trPr>
          <w:trHeight w:val="288"/>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Daň z nemovitosti</w:t>
            </w:r>
          </w:p>
        </w:tc>
        <w:tc>
          <w:tcPr>
            <w:tcW w:w="1843"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1 097 142,82</w:t>
            </w:r>
          </w:p>
        </w:tc>
        <w:tc>
          <w:tcPr>
            <w:tcW w:w="1984"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26 000 000,00</w:t>
            </w:r>
          </w:p>
        </w:tc>
        <w:tc>
          <w:tcPr>
            <w:tcW w:w="2101"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26 000 000,00</w:t>
            </w:r>
          </w:p>
        </w:tc>
        <w:tc>
          <w:tcPr>
            <w:tcW w:w="641"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4,22</w:t>
            </w:r>
          </w:p>
        </w:tc>
        <w:tc>
          <w:tcPr>
            <w:tcW w:w="641"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4,22</w:t>
            </w:r>
          </w:p>
        </w:tc>
      </w:tr>
      <w:tr w:rsidR="007154F7" w:rsidRPr="007154F7" w:rsidTr="007154F7">
        <w:trPr>
          <w:trHeight w:val="288"/>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Ostatní daňové příjmy</w:t>
            </w:r>
          </w:p>
        </w:tc>
        <w:tc>
          <w:tcPr>
            <w:tcW w:w="1843"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7 632 110,50</w:t>
            </w:r>
          </w:p>
        </w:tc>
        <w:tc>
          <w:tcPr>
            <w:tcW w:w="1984"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20 200 000,00</w:t>
            </w:r>
          </w:p>
        </w:tc>
        <w:tc>
          <w:tcPr>
            <w:tcW w:w="2101"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20 200 000,00</w:t>
            </w:r>
          </w:p>
        </w:tc>
        <w:tc>
          <w:tcPr>
            <w:tcW w:w="641"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37,78</w:t>
            </w:r>
          </w:p>
        </w:tc>
        <w:tc>
          <w:tcPr>
            <w:tcW w:w="641"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w:t>
            </w:r>
          </w:p>
        </w:tc>
      </w:tr>
    </w:tbl>
    <w:p w:rsidR="004B6D91" w:rsidRPr="007154F7" w:rsidRDefault="004B6D91" w:rsidP="007154F7">
      <w:pPr>
        <w:spacing w:after="0"/>
        <w:jc w:val="both"/>
        <w:rPr>
          <w:rFonts w:ascii="Verdana" w:hAnsi="Verdana"/>
          <w:sz w:val="20"/>
          <w:szCs w:val="20"/>
        </w:rPr>
      </w:pPr>
    </w:p>
    <w:p w:rsidR="004B6D91" w:rsidRPr="007154F7" w:rsidRDefault="004B6D91" w:rsidP="007154F7">
      <w:pPr>
        <w:spacing w:after="0"/>
        <w:jc w:val="both"/>
        <w:rPr>
          <w:rFonts w:ascii="Verdana" w:hAnsi="Verdana"/>
          <w:b/>
          <w:sz w:val="20"/>
          <w:szCs w:val="20"/>
        </w:rPr>
      </w:pPr>
      <w:r w:rsidRPr="007154F7">
        <w:rPr>
          <w:rFonts w:ascii="Verdana" w:hAnsi="Verdana"/>
          <w:b/>
          <w:sz w:val="20"/>
          <w:szCs w:val="20"/>
        </w:rPr>
        <w:t>Sdílené daně po měsících v porovnání s lety minulými</w:t>
      </w:r>
    </w:p>
    <w:tbl>
      <w:tblPr>
        <w:tblW w:w="7812" w:type="dxa"/>
        <w:tblInd w:w="55" w:type="dxa"/>
        <w:tblCellMar>
          <w:left w:w="70" w:type="dxa"/>
          <w:right w:w="70" w:type="dxa"/>
        </w:tblCellMar>
        <w:tblLook w:val="04A0" w:firstRow="1" w:lastRow="0" w:firstColumn="1" w:lastColumn="0" w:noHBand="0" w:noVBand="1"/>
      </w:tblPr>
      <w:tblGrid>
        <w:gridCol w:w="2100"/>
        <w:gridCol w:w="1743"/>
        <w:gridCol w:w="1984"/>
        <w:gridCol w:w="1985"/>
      </w:tblGrid>
      <w:tr w:rsidR="007154F7" w:rsidRPr="007154F7" w:rsidTr="007154F7">
        <w:trPr>
          <w:trHeight w:val="288"/>
        </w:trPr>
        <w:tc>
          <w:tcPr>
            <w:tcW w:w="2100" w:type="dxa"/>
            <w:tcBorders>
              <w:top w:val="single" w:sz="4" w:space="0" w:color="auto"/>
              <w:left w:val="single" w:sz="4" w:space="0" w:color="auto"/>
              <w:bottom w:val="single" w:sz="4" w:space="0" w:color="auto"/>
              <w:right w:val="single" w:sz="4" w:space="0" w:color="auto"/>
            </w:tcBorders>
            <w:shd w:val="clear" w:color="auto" w:fill="EEECE1"/>
            <w:noWrap/>
            <w:vAlign w:val="bottom"/>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Měsíc</w:t>
            </w:r>
          </w:p>
        </w:tc>
        <w:tc>
          <w:tcPr>
            <w:tcW w:w="1743" w:type="dxa"/>
            <w:tcBorders>
              <w:top w:val="single" w:sz="4" w:space="0" w:color="auto"/>
              <w:left w:val="nil"/>
              <w:bottom w:val="single" w:sz="4" w:space="0" w:color="auto"/>
              <w:right w:val="single" w:sz="4" w:space="0" w:color="auto"/>
            </w:tcBorders>
            <w:shd w:val="clear" w:color="auto" w:fill="EEECE1"/>
            <w:noWrap/>
            <w:vAlign w:val="bottom"/>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2018</w:t>
            </w:r>
          </w:p>
        </w:tc>
        <w:tc>
          <w:tcPr>
            <w:tcW w:w="1984" w:type="dxa"/>
            <w:tcBorders>
              <w:top w:val="single" w:sz="4" w:space="0" w:color="auto"/>
              <w:left w:val="nil"/>
              <w:bottom w:val="single" w:sz="4" w:space="0" w:color="auto"/>
              <w:right w:val="single" w:sz="4" w:space="0" w:color="auto"/>
            </w:tcBorders>
            <w:shd w:val="clear" w:color="auto" w:fill="EEECE1"/>
            <w:noWrap/>
            <w:vAlign w:val="bottom"/>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2019</w:t>
            </w:r>
          </w:p>
        </w:tc>
        <w:tc>
          <w:tcPr>
            <w:tcW w:w="1985" w:type="dxa"/>
            <w:tcBorders>
              <w:top w:val="single" w:sz="4" w:space="0" w:color="auto"/>
              <w:left w:val="nil"/>
              <w:bottom w:val="single" w:sz="4" w:space="0" w:color="auto"/>
              <w:right w:val="single" w:sz="4" w:space="0" w:color="auto"/>
            </w:tcBorders>
            <w:shd w:val="clear" w:color="auto" w:fill="EEECE1"/>
            <w:noWrap/>
            <w:vAlign w:val="bottom"/>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2020</w:t>
            </w:r>
          </w:p>
        </w:tc>
      </w:tr>
      <w:tr w:rsidR="007154F7" w:rsidRPr="007154F7" w:rsidTr="007154F7">
        <w:trPr>
          <w:trHeight w:val="288"/>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Leden</w:t>
            </w:r>
          </w:p>
        </w:tc>
        <w:tc>
          <w:tcPr>
            <w:tcW w:w="1743"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18 852 516,34</w:t>
            </w:r>
          </w:p>
        </w:tc>
        <w:tc>
          <w:tcPr>
            <w:tcW w:w="1984"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24 049 592,07</w:t>
            </w:r>
          </w:p>
        </w:tc>
        <w:tc>
          <w:tcPr>
            <w:tcW w:w="1985"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22 244 186,92</w:t>
            </w:r>
          </w:p>
        </w:tc>
      </w:tr>
      <w:tr w:rsidR="007154F7" w:rsidRPr="007154F7" w:rsidTr="007154F7">
        <w:trPr>
          <w:trHeight w:val="288"/>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Únor</w:t>
            </w:r>
          </w:p>
        </w:tc>
        <w:tc>
          <w:tcPr>
            <w:tcW w:w="1743"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22 068 479,42</w:t>
            </w:r>
          </w:p>
        </w:tc>
        <w:tc>
          <w:tcPr>
            <w:tcW w:w="1984"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22 287 615,75</w:t>
            </w:r>
          </w:p>
        </w:tc>
        <w:tc>
          <w:tcPr>
            <w:tcW w:w="1985"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23 868 109,17</w:t>
            </w:r>
          </w:p>
        </w:tc>
      </w:tr>
      <w:tr w:rsidR="007154F7" w:rsidRPr="007154F7" w:rsidTr="007154F7">
        <w:trPr>
          <w:trHeight w:val="288"/>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Březen</w:t>
            </w:r>
          </w:p>
        </w:tc>
        <w:tc>
          <w:tcPr>
            <w:tcW w:w="1743"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22 668 236,39</w:t>
            </w:r>
          </w:p>
        </w:tc>
        <w:tc>
          <w:tcPr>
            <w:tcW w:w="1984"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23 588 072,41</w:t>
            </w:r>
          </w:p>
        </w:tc>
        <w:tc>
          <w:tcPr>
            <w:tcW w:w="1985"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26 579 065,77</w:t>
            </w:r>
          </w:p>
        </w:tc>
      </w:tr>
      <w:tr w:rsidR="007154F7" w:rsidRPr="007154F7" w:rsidTr="007154F7">
        <w:trPr>
          <w:trHeight w:val="288"/>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Duben</w:t>
            </w:r>
          </w:p>
        </w:tc>
        <w:tc>
          <w:tcPr>
            <w:tcW w:w="1743"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15 899 184,81</w:t>
            </w:r>
          </w:p>
        </w:tc>
        <w:tc>
          <w:tcPr>
            <w:tcW w:w="1984"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17 931 476,70</w:t>
            </w:r>
          </w:p>
        </w:tc>
        <w:tc>
          <w:tcPr>
            <w:tcW w:w="1985"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w:t>
            </w:r>
          </w:p>
        </w:tc>
      </w:tr>
      <w:tr w:rsidR="007154F7" w:rsidRPr="007154F7" w:rsidTr="007154F7">
        <w:trPr>
          <w:trHeight w:val="288"/>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Květen</w:t>
            </w:r>
          </w:p>
        </w:tc>
        <w:tc>
          <w:tcPr>
            <w:tcW w:w="1743"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19 062 731,60</w:t>
            </w:r>
          </w:p>
        </w:tc>
        <w:tc>
          <w:tcPr>
            <w:tcW w:w="1984"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21 495 571,20</w:t>
            </w:r>
          </w:p>
        </w:tc>
        <w:tc>
          <w:tcPr>
            <w:tcW w:w="1985"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w:t>
            </w:r>
          </w:p>
        </w:tc>
      </w:tr>
      <w:tr w:rsidR="007154F7" w:rsidRPr="007154F7" w:rsidTr="007154F7">
        <w:trPr>
          <w:trHeight w:val="288"/>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Červen</w:t>
            </w:r>
          </w:p>
        </w:tc>
        <w:tc>
          <w:tcPr>
            <w:tcW w:w="1743"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41 157 580,34</w:t>
            </w:r>
          </w:p>
        </w:tc>
        <w:tc>
          <w:tcPr>
            <w:tcW w:w="1984"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42 931 845,84</w:t>
            </w:r>
          </w:p>
        </w:tc>
        <w:tc>
          <w:tcPr>
            <w:tcW w:w="1985"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w:t>
            </w:r>
          </w:p>
        </w:tc>
      </w:tr>
      <w:tr w:rsidR="007154F7" w:rsidRPr="007154F7" w:rsidTr="007154F7">
        <w:trPr>
          <w:trHeight w:val="288"/>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Červenec</w:t>
            </w:r>
          </w:p>
        </w:tc>
        <w:tc>
          <w:tcPr>
            <w:tcW w:w="1743"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28 471 109,96</w:t>
            </w:r>
          </w:p>
        </w:tc>
        <w:tc>
          <w:tcPr>
            <w:tcW w:w="1984"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33 087 870,50</w:t>
            </w:r>
          </w:p>
        </w:tc>
        <w:tc>
          <w:tcPr>
            <w:tcW w:w="1985"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w:t>
            </w:r>
          </w:p>
        </w:tc>
      </w:tr>
      <w:tr w:rsidR="007154F7" w:rsidRPr="007154F7" w:rsidTr="007154F7">
        <w:trPr>
          <w:trHeight w:val="288"/>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Srpen</w:t>
            </w:r>
          </w:p>
        </w:tc>
        <w:tc>
          <w:tcPr>
            <w:tcW w:w="1743"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21 529 205,55</w:t>
            </w:r>
          </w:p>
        </w:tc>
        <w:tc>
          <w:tcPr>
            <w:tcW w:w="1984"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22 181 010,72</w:t>
            </w:r>
          </w:p>
        </w:tc>
        <w:tc>
          <w:tcPr>
            <w:tcW w:w="1985"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w:t>
            </w:r>
          </w:p>
        </w:tc>
      </w:tr>
      <w:tr w:rsidR="007154F7" w:rsidRPr="007154F7" w:rsidTr="007154F7">
        <w:trPr>
          <w:trHeight w:val="288"/>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Září</w:t>
            </w:r>
          </w:p>
        </w:tc>
        <w:tc>
          <w:tcPr>
            <w:tcW w:w="1743"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20 270 646,71</w:t>
            </w:r>
          </w:p>
        </w:tc>
        <w:tc>
          <w:tcPr>
            <w:tcW w:w="1984"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22 878 158,45</w:t>
            </w:r>
          </w:p>
        </w:tc>
        <w:tc>
          <w:tcPr>
            <w:tcW w:w="1985"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w:t>
            </w:r>
          </w:p>
        </w:tc>
      </w:tr>
      <w:tr w:rsidR="007154F7" w:rsidRPr="007154F7" w:rsidTr="007154F7">
        <w:trPr>
          <w:trHeight w:val="288"/>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lastRenderedPageBreak/>
              <w:t>Říjen</w:t>
            </w:r>
          </w:p>
        </w:tc>
        <w:tc>
          <w:tcPr>
            <w:tcW w:w="1743"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23 330 586,47</w:t>
            </w:r>
          </w:p>
        </w:tc>
        <w:tc>
          <w:tcPr>
            <w:tcW w:w="1984"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23 654 260,30</w:t>
            </w:r>
          </w:p>
        </w:tc>
        <w:tc>
          <w:tcPr>
            <w:tcW w:w="1985"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w:t>
            </w:r>
          </w:p>
        </w:tc>
      </w:tr>
      <w:tr w:rsidR="007154F7" w:rsidRPr="007154F7" w:rsidTr="007154F7">
        <w:trPr>
          <w:trHeight w:val="288"/>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Listopad</w:t>
            </w:r>
          </w:p>
        </w:tc>
        <w:tc>
          <w:tcPr>
            <w:tcW w:w="1743"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22 247 422,57</w:t>
            </w:r>
          </w:p>
        </w:tc>
        <w:tc>
          <w:tcPr>
            <w:tcW w:w="1984"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23 645 653,75</w:t>
            </w:r>
          </w:p>
        </w:tc>
        <w:tc>
          <w:tcPr>
            <w:tcW w:w="1985"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w:t>
            </w:r>
          </w:p>
        </w:tc>
      </w:tr>
      <w:tr w:rsidR="007154F7" w:rsidRPr="007154F7" w:rsidTr="007154F7">
        <w:trPr>
          <w:trHeight w:val="288"/>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Prosinec</w:t>
            </w:r>
          </w:p>
        </w:tc>
        <w:tc>
          <w:tcPr>
            <w:tcW w:w="1743"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29 049 446,88</w:t>
            </w:r>
          </w:p>
        </w:tc>
        <w:tc>
          <w:tcPr>
            <w:tcW w:w="1984"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32 711 657,41</w:t>
            </w:r>
          </w:p>
        </w:tc>
        <w:tc>
          <w:tcPr>
            <w:tcW w:w="1985"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 </w:t>
            </w:r>
          </w:p>
        </w:tc>
      </w:tr>
      <w:tr w:rsidR="007154F7" w:rsidRPr="007154F7" w:rsidTr="007154F7">
        <w:trPr>
          <w:trHeight w:val="288"/>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CELKEM</w:t>
            </w:r>
          </w:p>
        </w:tc>
        <w:tc>
          <w:tcPr>
            <w:tcW w:w="1743"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284 607 147,04</w:t>
            </w:r>
          </w:p>
        </w:tc>
        <w:tc>
          <w:tcPr>
            <w:tcW w:w="1984"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310 442 785,10</w:t>
            </w:r>
          </w:p>
        </w:tc>
        <w:tc>
          <w:tcPr>
            <w:tcW w:w="1985"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72 691 361,86</w:t>
            </w:r>
          </w:p>
        </w:tc>
      </w:tr>
    </w:tbl>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Z tabulky je zřejmé, že dopad snižování daňových příjmů se dostaví až v dalším čtvrtletí. Odhad MFČR, který je doposud k dispozici je ve výši 7,3% propadu odhadovaných daňových příjmů. </w:t>
      </w:r>
    </w:p>
    <w:p w:rsidR="004B6D91" w:rsidRPr="007154F7" w:rsidRDefault="004B6D91" w:rsidP="007154F7">
      <w:pPr>
        <w:spacing w:after="0"/>
        <w:jc w:val="both"/>
        <w:rPr>
          <w:rFonts w:ascii="Verdana" w:hAnsi="Verdana"/>
          <w:sz w:val="20"/>
          <w:szCs w:val="20"/>
        </w:rPr>
      </w:pPr>
    </w:p>
    <w:p w:rsidR="004B6D91" w:rsidRPr="007154F7" w:rsidRDefault="004B6D91" w:rsidP="007154F7">
      <w:pPr>
        <w:spacing w:after="0"/>
        <w:jc w:val="both"/>
        <w:rPr>
          <w:rFonts w:ascii="Verdana" w:hAnsi="Verdana"/>
          <w:b/>
          <w:sz w:val="20"/>
          <w:szCs w:val="20"/>
        </w:rPr>
      </w:pPr>
      <w:r w:rsidRPr="007154F7">
        <w:rPr>
          <w:rFonts w:ascii="Verdana" w:hAnsi="Verdana"/>
          <w:b/>
          <w:sz w:val="20"/>
          <w:szCs w:val="20"/>
        </w:rPr>
        <w:t>Výdaje v Kč:</w:t>
      </w:r>
    </w:p>
    <w:tbl>
      <w:tblPr>
        <w:tblW w:w="8880" w:type="dxa"/>
        <w:tblInd w:w="55" w:type="dxa"/>
        <w:tblCellMar>
          <w:left w:w="70" w:type="dxa"/>
          <w:right w:w="70" w:type="dxa"/>
        </w:tblCellMar>
        <w:tblLook w:val="04A0" w:firstRow="1" w:lastRow="0" w:firstColumn="1" w:lastColumn="0" w:noHBand="0" w:noVBand="1"/>
      </w:tblPr>
      <w:tblGrid>
        <w:gridCol w:w="2279"/>
        <w:gridCol w:w="1699"/>
        <w:gridCol w:w="1558"/>
        <w:gridCol w:w="1840"/>
        <w:gridCol w:w="850"/>
        <w:gridCol w:w="781"/>
      </w:tblGrid>
      <w:tr w:rsidR="007154F7" w:rsidRPr="007154F7" w:rsidTr="007154F7">
        <w:trPr>
          <w:trHeight w:val="576"/>
        </w:trPr>
        <w:tc>
          <w:tcPr>
            <w:tcW w:w="2283" w:type="dxa"/>
            <w:tcBorders>
              <w:top w:val="single" w:sz="4" w:space="0" w:color="auto"/>
              <w:left w:val="single" w:sz="4" w:space="0" w:color="auto"/>
              <w:bottom w:val="single" w:sz="4" w:space="0" w:color="auto"/>
              <w:right w:val="single" w:sz="4" w:space="0" w:color="auto"/>
            </w:tcBorders>
            <w:shd w:val="clear" w:color="auto" w:fill="EEECE1"/>
            <w:noWrap/>
            <w:vAlign w:val="bottom"/>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Třída</w:t>
            </w:r>
          </w:p>
        </w:tc>
        <w:tc>
          <w:tcPr>
            <w:tcW w:w="1701" w:type="dxa"/>
            <w:tcBorders>
              <w:top w:val="single" w:sz="4" w:space="0" w:color="auto"/>
              <w:left w:val="nil"/>
              <w:bottom w:val="single" w:sz="4" w:space="0" w:color="auto"/>
              <w:right w:val="single" w:sz="4" w:space="0" w:color="auto"/>
            </w:tcBorders>
            <w:shd w:val="clear" w:color="auto" w:fill="EEECE1"/>
            <w:noWrap/>
            <w:vAlign w:val="center"/>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Skutečnost</w:t>
            </w:r>
          </w:p>
        </w:tc>
        <w:tc>
          <w:tcPr>
            <w:tcW w:w="1560" w:type="dxa"/>
            <w:tcBorders>
              <w:top w:val="single" w:sz="4" w:space="0" w:color="auto"/>
              <w:left w:val="nil"/>
              <w:bottom w:val="single" w:sz="4" w:space="0" w:color="auto"/>
              <w:right w:val="single" w:sz="4" w:space="0" w:color="auto"/>
            </w:tcBorders>
            <w:shd w:val="clear" w:color="auto" w:fill="EEECE1"/>
            <w:vAlign w:val="center"/>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Schválený rozpočet</w:t>
            </w:r>
          </w:p>
        </w:tc>
        <w:tc>
          <w:tcPr>
            <w:tcW w:w="1842" w:type="dxa"/>
            <w:tcBorders>
              <w:top w:val="single" w:sz="4" w:space="0" w:color="auto"/>
              <w:left w:val="nil"/>
              <w:bottom w:val="single" w:sz="4" w:space="0" w:color="auto"/>
              <w:right w:val="single" w:sz="4" w:space="0" w:color="auto"/>
            </w:tcBorders>
            <w:shd w:val="clear" w:color="auto" w:fill="EEECE1"/>
            <w:vAlign w:val="center"/>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Rozpočet po změnách</w:t>
            </w:r>
          </w:p>
        </w:tc>
        <w:tc>
          <w:tcPr>
            <w:tcW w:w="851" w:type="dxa"/>
            <w:tcBorders>
              <w:top w:val="single" w:sz="4" w:space="0" w:color="auto"/>
              <w:left w:val="nil"/>
              <w:bottom w:val="single" w:sz="4" w:space="0" w:color="auto"/>
              <w:right w:val="single" w:sz="4" w:space="0" w:color="auto"/>
            </w:tcBorders>
            <w:shd w:val="clear" w:color="auto" w:fill="EEECE1"/>
            <w:noWrap/>
            <w:vAlign w:val="center"/>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 SR</w:t>
            </w:r>
          </w:p>
        </w:tc>
        <w:tc>
          <w:tcPr>
            <w:tcW w:w="643" w:type="dxa"/>
            <w:tcBorders>
              <w:top w:val="single" w:sz="4" w:space="0" w:color="auto"/>
              <w:left w:val="nil"/>
              <w:bottom w:val="single" w:sz="4" w:space="0" w:color="auto"/>
              <w:right w:val="single" w:sz="4" w:space="0" w:color="auto"/>
            </w:tcBorders>
            <w:shd w:val="clear" w:color="auto" w:fill="EEECE1"/>
            <w:noWrap/>
            <w:vAlign w:val="center"/>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 UR</w:t>
            </w:r>
          </w:p>
        </w:tc>
      </w:tr>
      <w:tr w:rsidR="007154F7" w:rsidRPr="007154F7" w:rsidTr="007154F7">
        <w:trPr>
          <w:trHeight w:val="288"/>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5-BĚŽNÉ VÝDAJE</w:t>
            </w:r>
          </w:p>
        </w:tc>
        <w:tc>
          <w:tcPr>
            <w:tcW w:w="1701"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85 276 490,86</w:t>
            </w:r>
          </w:p>
        </w:tc>
        <w:tc>
          <w:tcPr>
            <w:tcW w:w="1560"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411 334 000,00</w:t>
            </w:r>
          </w:p>
        </w:tc>
        <w:tc>
          <w:tcPr>
            <w:tcW w:w="1842"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422 488 864,15</w:t>
            </w:r>
          </w:p>
        </w:tc>
        <w:tc>
          <w:tcPr>
            <w:tcW w:w="851"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20,73</w:t>
            </w:r>
          </w:p>
        </w:tc>
        <w:tc>
          <w:tcPr>
            <w:tcW w:w="643"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20,18</w:t>
            </w:r>
          </w:p>
        </w:tc>
      </w:tr>
      <w:tr w:rsidR="007154F7" w:rsidRPr="007154F7" w:rsidTr="007154F7">
        <w:trPr>
          <w:trHeight w:val="288"/>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6-KAPITÁLOVÉ VÝDAJE</w:t>
            </w:r>
          </w:p>
        </w:tc>
        <w:tc>
          <w:tcPr>
            <w:tcW w:w="1701"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20 631 056,23</w:t>
            </w:r>
          </w:p>
        </w:tc>
        <w:tc>
          <w:tcPr>
            <w:tcW w:w="1560"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136 501 650,00</w:t>
            </w:r>
          </w:p>
        </w:tc>
        <w:tc>
          <w:tcPr>
            <w:tcW w:w="1842"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138 777 392,88</w:t>
            </w:r>
          </w:p>
        </w:tc>
        <w:tc>
          <w:tcPr>
            <w:tcW w:w="851"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15,11</w:t>
            </w:r>
          </w:p>
        </w:tc>
        <w:tc>
          <w:tcPr>
            <w:tcW w:w="643"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14,87</w:t>
            </w:r>
          </w:p>
        </w:tc>
      </w:tr>
      <w:tr w:rsidR="007154F7" w:rsidRPr="007154F7" w:rsidTr="007154F7">
        <w:trPr>
          <w:trHeight w:val="288"/>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CELKEM VÝDAJE</w:t>
            </w:r>
          </w:p>
        </w:tc>
        <w:tc>
          <w:tcPr>
            <w:tcW w:w="1701"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105 907 547,09</w:t>
            </w:r>
          </w:p>
        </w:tc>
        <w:tc>
          <w:tcPr>
            <w:tcW w:w="1560"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547 835 650,00</w:t>
            </w:r>
          </w:p>
        </w:tc>
        <w:tc>
          <w:tcPr>
            <w:tcW w:w="1842"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561 266 257,03</w:t>
            </w:r>
          </w:p>
        </w:tc>
        <w:tc>
          <w:tcPr>
            <w:tcW w:w="851"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19,33</w:t>
            </w:r>
          </w:p>
        </w:tc>
        <w:tc>
          <w:tcPr>
            <w:tcW w:w="643" w:type="dxa"/>
            <w:tcBorders>
              <w:top w:val="nil"/>
              <w:left w:val="nil"/>
              <w:bottom w:val="single" w:sz="4" w:space="0" w:color="auto"/>
              <w:right w:val="single" w:sz="4" w:space="0" w:color="auto"/>
            </w:tcBorders>
            <w:shd w:val="clear" w:color="auto" w:fill="auto"/>
            <w:noWrap/>
            <w:vAlign w:val="bottom"/>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18,87</w:t>
            </w:r>
          </w:p>
        </w:tc>
      </w:tr>
    </w:tbl>
    <w:p w:rsidR="004B6D91" w:rsidRPr="007154F7" w:rsidRDefault="004B6D91" w:rsidP="007154F7">
      <w:pPr>
        <w:spacing w:after="0"/>
        <w:jc w:val="both"/>
        <w:rPr>
          <w:rFonts w:ascii="Verdana" w:hAnsi="Verdana"/>
          <w:b/>
          <w:sz w:val="20"/>
          <w:szCs w:val="20"/>
        </w:rPr>
      </w:pPr>
    </w:p>
    <w:p w:rsidR="004B6D91" w:rsidRPr="007154F7" w:rsidRDefault="004B6D91" w:rsidP="007154F7">
      <w:pPr>
        <w:spacing w:after="0"/>
        <w:jc w:val="both"/>
        <w:rPr>
          <w:rFonts w:ascii="Verdana" w:hAnsi="Verdana"/>
          <w:sz w:val="20"/>
          <w:szCs w:val="20"/>
        </w:rPr>
      </w:pPr>
      <w:r w:rsidRPr="007154F7">
        <w:rPr>
          <w:rFonts w:ascii="Verdana" w:hAnsi="Verdana"/>
          <w:sz w:val="20"/>
          <w:szCs w:val="20"/>
        </w:rPr>
        <w:t>Aktuální stav rozpočtu „</w:t>
      </w:r>
      <w:proofErr w:type="spellStart"/>
      <w:r w:rsidRPr="007154F7">
        <w:rPr>
          <w:rFonts w:ascii="Verdana" w:hAnsi="Verdana"/>
          <w:sz w:val="20"/>
          <w:szCs w:val="20"/>
        </w:rPr>
        <w:t>rozklikávací</w:t>
      </w:r>
      <w:proofErr w:type="spellEnd"/>
      <w:r w:rsidRPr="007154F7">
        <w:rPr>
          <w:rFonts w:ascii="Verdana" w:hAnsi="Verdana"/>
          <w:sz w:val="20"/>
          <w:szCs w:val="20"/>
        </w:rPr>
        <w:t xml:space="preserve"> rozpočet“ města je k dispozici na stránkách Města </w:t>
      </w:r>
      <w:hyperlink r:id="rId8" w:history="1">
        <w:r w:rsidRPr="007154F7">
          <w:rPr>
            <w:rStyle w:val="Hypertextovodkaz"/>
            <w:rFonts w:ascii="Verdana" w:hAnsi="Verdana"/>
            <w:color w:val="auto"/>
            <w:sz w:val="20"/>
            <w:szCs w:val="20"/>
          </w:rPr>
          <w:t>zde</w:t>
        </w:r>
      </w:hyperlink>
      <w:r w:rsidRPr="007154F7">
        <w:rPr>
          <w:rFonts w:ascii="Verdana" w:hAnsi="Verdana"/>
          <w:sz w:val="20"/>
          <w:szCs w:val="20"/>
        </w:rPr>
        <w:t xml:space="preserve"> </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Výdaje, které souvisí s krizovými opatřeními, jsou k 14. 4. 2020 ve výši 173 tis. Kč</w:t>
      </w:r>
    </w:p>
    <w:p w:rsidR="004B6D91" w:rsidRPr="007154F7" w:rsidRDefault="004B6D91" w:rsidP="007154F7">
      <w:pPr>
        <w:spacing w:after="0"/>
        <w:jc w:val="both"/>
        <w:rPr>
          <w:rFonts w:ascii="Verdana" w:hAnsi="Verdana"/>
          <w:sz w:val="20"/>
          <w:szCs w:val="20"/>
        </w:rPr>
      </w:pPr>
    </w:p>
    <w:p w:rsidR="004B6D91" w:rsidRPr="007154F7" w:rsidRDefault="004B6D91" w:rsidP="007154F7">
      <w:pPr>
        <w:spacing w:after="0"/>
        <w:jc w:val="both"/>
        <w:rPr>
          <w:rFonts w:ascii="Verdana" w:hAnsi="Verdana"/>
          <w:i/>
          <w:sz w:val="20"/>
          <w:szCs w:val="20"/>
        </w:rPr>
      </w:pPr>
      <w:r w:rsidRPr="007154F7">
        <w:rPr>
          <w:rFonts w:ascii="Verdana" w:hAnsi="Verdana"/>
          <w:sz w:val="20"/>
          <w:szCs w:val="20"/>
        </w:rPr>
        <w:t>Výkazy plnění rozpočtu jsou pravidelně zveřejňovány dle termínu odevzdání výkazu do CSÚIS</w:t>
      </w:r>
      <w:r w:rsidRPr="007154F7">
        <w:rPr>
          <w:rStyle w:val="Znakapoznpodarou"/>
          <w:rFonts w:ascii="Verdana" w:hAnsi="Verdana"/>
          <w:sz w:val="20"/>
          <w:szCs w:val="20"/>
        </w:rPr>
        <w:footnoteReference w:id="1"/>
      </w:r>
      <w:r w:rsidRPr="007154F7">
        <w:rPr>
          <w:rFonts w:ascii="Verdana" w:hAnsi="Verdana"/>
          <w:sz w:val="20"/>
          <w:szCs w:val="20"/>
        </w:rPr>
        <w:t xml:space="preserve">  </w:t>
      </w:r>
      <w:hyperlink r:id="rId9" w:history="1">
        <w:r w:rsidRPr="007154F7">
          <w:rPr>
            <w:rStyle w:val="Hypertextovodkaz"/>
            <w:rFonts w:ascii="Verdana" w:hAnsi="Verdana"/>
            <w:color w:val="auto"/>
            <w:sz w:val="20"/>
            <w:szCs w:val="20"/>
          </w:rPr>
          <w:t>zde</w:t>
        </w:r>
      </w:hyperlink>
      <w:r w:rsidRPr="007154F7">
        <w:rPr>
          <w:rFonts w:ascii="Verdana" w:hAnsi="Verdana"/>
          <w:sz w:val="20"/>
          <w:szCs w:val="20"/>
        </w:rPr>
        <w:t xml:space="preserve"> </w:t>
      </w:r>
    </w:p>
    <w:p w:rsidR="004B6D91" w:rsidRPr="007154F7" w:rsidRDefault="004B6D91" w:rsidP="007154F7">
      <w:pPr>
        <w:spacing w:after="0"/>
        <w:jc w:val="both"/>
        <w:rPr>
          <w:rFonts w:ascii="Verdana" w:hAnsi="Verdana"/>
          <w:sz w:val="20"/>
          <w:szCs w:val="20"/>
        </w:rPr>
      </w:pPr>
    </w:p>
    <w:p w:rsidR="004B6D91" w:rsidRPr="007154F7" w:rsidRDefault="004B6D91" w:rsidP="007154F7">
      <w:pPr>
        <w:spacing w:after="0"/>
        <w:jc w:val="both"/>
        <w:rPr>
          <w:rFonts w:ascii="Verdana" w:hAnsi="Verdana"/>
          <w:sz w:val="20"/>
          <w:szCs w:val="20"/>
        </w:rPr>
      </w:pPr>
    </w:p>
    <w:p w:rsidR="004B6D91" w:rsidRPr="007154F7" w:rsidRDefault="004B6D91" w:rsidP="007154F7">
      <w:pPr>
        <w:spacing w:after="0"/>
        <w:jc w:val="both"/>
        <w:rPr>
          <w:rFonts w:ascii="Verdana" w:eastAsia="Calibri" w:hAnsi="Verdana"/>
          <w:sz w:val="20"/>
          <w:szCs w:val="20"/>
        </w:rPr>
      </w:pPr>
      <w:r w:rsidRPr="007154F7">
        <w:rPr>
          <w:rFonts w:ascii="Verdana" w:eastAsia="Calibri" w:hAnsi="Verdana"/>
          <w:sz w:val="20"/>
          <w:szCs w:val="20"/>
        </w:rPr>
        <w:t xml:space="preserve">V případě dotazů se, prosím bez váhání, ještě před termínem zastupitelstva, obraťte na vedoucí ekonomického odboru </w:t>
      </w:r>
      <w:hyperlink r:id="rId10" w:history="1">
        <w:r w:rsidRPr="007154F7">
          <w:rPr>
            <w:rStyle w:val="Hypertextovodkaz"/>
            <w:rFonts w:ascii="Verdana" w:eastAsia="Calibri" w:hAnsi="Verdana"/>
            <w:color w:val="auto"/>
            <w:sz w:val="20"/>
            <w:szCs w:val="20"/>
          </w:rPr>
          <w:t>bulankova</w:t>
        </w:r>
        <w:r w:rsidRPr="007154F7">
          <w:rPr>
            <w:rStyle w:val="Hypertextovodkaz"/>
            <w:rFonts w:ascii="Verdana" w:eastAsia="Calibri" w:hAnsi="Verdana" w:cs="Arial"/>
            <w:color w:val="auto"/>
            <w:sz w:val="20"/>
            <w:szCs w:val="20"/>
          </w:rPr>
          <w:t>@mu.kutnahora.cz</w:t>
        </w:r>
      </w:hyperlink>
      <w:r w:rsidRPr="007154F7">
        <w:rPr>
          <w:rFonts w:ascii="Verdana" w:eastAsia="Calibri" w:hAnsi="Verdana"/>
          <w:sz w:val="20"/>
          <w:szCs w:val="20"/>
        </w:rPr>
        <w:t>.</w:t>
      </w:r>
    </w:p>
    <w:p w:rsidR="004B6D91" w:rsidRPr="007154F7" w:rsidRDefault="004B6D91" w:rsidP="007154F7">
      <w:pPr>
        <w:spacing w:after="0"/>
        <w:jc w:val="both"/>
        <w:rPr>
          <w:rFonts w:ascii="Verdana" w:hAnsi="Verdana"/>
          <w:b/>
          <w:sz w:val="20"/>
          <w:szCs w:val="20"/>
          <w:u w:val="single"/>
        </w:rPr>
      </w:pPr>
    </w:p>
    <w:p w:rsidR="004B6D91" w:rsidRPr="007154F7" w:rsidRDefault="004B6D91" w:rsidP="007154F7">
      <w:pPr>
        <w:spacing w:after="0"/>
        <w:jc w:val="both"/>
        <w:rPr>
          <w:rFonts w:ascii="Verdana" w:hAnsi="Verdana"/>
          <w:sz w:val="20"/>
          <w:szCs w:val="20"/>
        </w:rPr>
      </w:pPr>
      <w:r w:rsidRPr="007154F7">
        <w:rPr>
          <w:rFonts w:ascii="Verdana" w:hAnsi="Verdana"/>
          <w:b/>
          <w:sz w:val="20"/>
          <w:szCs w:val="20"/>
        </w:rPr>
        <w:t>2/03 Návrh na rozpočtové opatření EKO č. 2</w:t>
      </w:r>
    </w:p>
    <w:p w:rsidR="004B6D91" w:rsidRPr="007154F7" w:rsidRDefault="004B6D91" w:rsidP="007154F7">
      <w:pPr>
        <w:spacing w:after="0"/>
        <w:jc w:val="both"/>
        <w:outlineLvl w:val="0"/>
        <w:rPr>
          <w:rFonts w:ascii="Verdana" w:hAnsi="Verdana"/>
          <w:sz w:val="20"/>
          <w:szCs w:val="20"/>
        </w:rPr>
      </w:pPr>
      <w:r w:rsidRPr="007154F7">
        <w:rPr>
          <w:rFonts w:ascii="Verdana" w:hAnsi="Verdana"/>
          <w:b/>
          <w:sz w:val="20"/>
          <w:szCs w:val="20"/>
        </w:rPr>
        <w:t xml:space="preserve">Rozpočtové opatření EKO č. 2 </w:t>
      </w:r>
      <w:r w:rsidRPr="007154F7">
        <w:rPr>
          <w:rFonts w:ascii="Verdana" w:hAnsi="Verdana"/>
          <w:sz w:val="20"/>
          <w:szCs w:val="20"/>
        </w:rPr>
        <w:t xml:space="preserve"> - navýšení rozpočtových prostředků (§ 16, odst. 3, písm. b) zákona č. 250/2000 Sb.)</w:t>
      </w:r>
    </w:p>
    <w:p w:rsidR="004B6D91" w:rsidRPr="007154F7" w:rsidRDefault="004B6D91" w:rsidP="007154F7">
      <w:pPr>
        <w:spacing w:after="0"/>
        <w:jc w:val="both"/>
        <w:outlineLvl w:val="0"/>
        <w:rPr>
          <w:rFonts w:ascii="Verdana" w:hAnsi="Verdana"/>
          <w:b/>
          <w:sz w:val="20"/>
          <w:szCs w:val="20"/>
        </w:rPr>
      </w:pPr>
      <w:r w:rsidRPr="007154F7">
        <w:rPr>
          <w:rFonts w:ascii="Verdana" w:hAnsi="Verdana"/>
          <w:b/>
          <w:sz w:val="20"/>
          <w:szCs w:val="20"/>
        </w:rPr>
        <w:t>Částka:  2 116 479,-- Kč</w:t>
      </w:r>
    </w:p>
    <w:p w:rsidR="004B6D91" w:rsidRPr="007154F7" w:rsidRDefault="004B6D91" w:rsidP="007154F7">
      <w:pPr>
        <w:spacing w:after="0"/>
        <w:jc w:val="both"/>
        <w:rPr>
          <w:rFonts w:ascii="Verdana" w:hAnsi="Verdana"/>
          <w:sz w:val="20"/>
          <w:szCs w:val="20"/>
        </w:rPr>
      </w:pPr>
      <w:r w:rsidRPr="007154F7">
        <w:rPr>
          <w:rFonts w:ascii="Verdana" w:hAnsi="Verdana"/>
          <w:b/>
          <w:sz w:val="20"/>
          <w:szCs w:val="20"/>
        </w:rPr>
        <w:t>Zdůvodnění</w:t>
      </w:r>
      <w:r w:rsidRPr="007154F7">
        <w:rPr>
          <w:rFonts w:ascii="Verdana" w:hAnsi="Verdana"/>
          <w:sz w:val="20"/>
          <w:szCs w:val="20"/>
        </w:rPr>
        <w:t>:</w:t>
      </w:r>
      <w:r w:rsidRPr="007154F7">
        <w:rPr>
          <w:rFonts w:ascii="Verdana" w:eastAsia="Calibri" w:hAnsi="Verdana"/>
          <w:sz w:val="20"/>
          <w:szCs w:val="20"/>
        </w:rPr>
        <w:t xml:space="preserve"> </w:t>
      </w:r>
      <w:r w:rsidRPr="007154F7">
        <w:rPr>
          <w:rFonts w:ascii="Verdana" w:hAnsi="Verdana"/>
          <w:sz w:val="20"/>
          <w:szCs w:val="20"/>
        </w:rPr>
        <w:t xml:space="preserve">Z důvodu nevyčerpání převedených rozpočtovaných mzdových prostředků na depozitním účtu k 31. 12. 2019 předkládáme návrh na zapojení tohoto zůstatku do rozpočtu 2020. Tyto prostředky částečně pokryjí mzdové náklady Městské policie a zbývající částka posílí položku „Rozpočtová rezerva“ a  „Krizová opatření“, která bude zejména sloužit k pokrytí výdajů související s mimořádnou událostí způsobenou šířením </w:t>
      </w:r>
      <w:proofErr w:type="spellStart"/>
      <w:r w:rsidRPr="007154F7">
        <w:rPr>
          <w:rFonts w:ascii="Verdana" w:hAnsi="Verdana"/>
          <w:sz w:val="20"/>
          <w:szCs w:val="20"/>
        </w:rPr>
        <w:t>koronaviru</w:t>
      </w:r>
      <w:proofErr w:type="spellEnd"/>
      <w:r w:rsidRPr="007154F7">
        <w:rPr>
          <w:rFonts w:ascii="Verdana" w:hAnsi="Verdana"/>
          <w:sz w:val="20"/>
          <w:szCs w:val="20"/>
        </w:rPr>
        <w:t>.</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Dnem 1. 1. 2020 – v souladu s ustanovením § 123 zákoníku práce a § 3 NV 352/2019 Sb., kterým se mění nařízení vlády č. 222/2010 Sb., o katalogu prací ve veřejných službách a správě, ve znění pozdějších předpisů došlo ke zrušení 6 </w:t>
      </w:r>
      <w:proofErr w:type="spellStart"/>
      <w:r w:rsidRPr="007154F7">
        <w:rPr>
          <w:rFonts w:ascii="Verdana" w:hAnsi="Verdana"/>
          <w:sz w:val="20"/>
          <w:szCs w:val="20"/>
        </w:rPr>
        <w:t>pl</w:t>
      </w:r>
      <w:proofErr w:type="spellEnd"/>
      <w:r w:rsidRPr="007154F7">
        <w:rPr>
          <w:rFonts w:ascii="Verdana" w:hAnsi="Verdana"/>
          <w:sz w:val="20"/>
          <w:szCs w:val="20"/>
        </w:rPr>
        <w:t xml:space="preserve">. </w:t>
      </w:r>
      <w:proofErr w:type="gramStart"/>
      <w:r w:rsidRPr="007154F7">
        <w:rPr>
          <w:rFonts w:ascii="Verdana" w:hAnsi="Verdana"/>
          <w:sz w:val="20"/>
          <w:szCs w:val="20"/>
        </w:rPr>
        <w:t>tř. a zároveň</w:t>
      </w:r>
      <w:proofErr w:type="gramEnd"/>
      <w:r w:rsidRPr="007154F7">
        <w:rPr>
          <w:rFonts w:ascii="Verdana" w:hAnsi="Verdana"/>
          <w:sz w:val="20"/>
          <w:szCs w:val="20"/>
        </w:rPr>
        <w:t xml:space="preserve"> k posunu pracovního zařazení strážníka do 8 </w:t>
      </w:r>
      <w:proofErr w:type="spellStart"/>
      <w:r w:rsidRPr="007154F7">
        <w:rPr>
          <w:rFonts w:ascii="Verdana" w:hAnsi="Verdana"/>
          <w:sz w:val="20"/>
          <w:szCs w:val="20"/>
        </w:rPr>
        <w:t>pl</w:t>
      </w:r>
      <w:proofErr w:type="spellEnd"/>
      <w:r w:rsidRPr="007154F7">
        <w:rPr>
          <w:rFonts w:ascii="Verdana" w:hAnsi="Verdana"/>
          <w:sz w:val="20"/>
          <w:szCs w:val="20"/>
        </w:rPr>
        <w:t>. tř. v souladu s nejvýše vykonávanou pracovní činností strážníka.</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Změna v souladu s výše uvedeným NV se dotýká 10 strážníků, celkové náklady navýšení rozpočtu </w:t>
      </w:r>
      <w:proofErr w:type="spellStart"/>
      <w:r w:rsidRPr="007154F7">
        <w:rPr>
          <w:rFonts w:ascii="Verdana" w:hAnsi="Verdana"/>
          <w:sz w:val="20"/>
          <w:szCs w:val="20"/>
        </w:rPr>
        <w:t>MP_Mzdy</w:t>
      </w:r>
      <w:proofErr w:type="spellEnd"/>
      <w:r w:rsidRPr="007154F7">
        <w:rPr>
          <w:rFonts w:ascii="Verdana" w:hAnsi="Verdana"/>
          <w:sz w:val="20"/>
          <w:szCs w:val="20"/>
        </w:rPr>
        <w:t xml:space="preserve"> jsou ve výši 509 296,-Kč včetně odvodů ZP+SP. </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lastRenderedPageBreak/>
        <w:t>S touto částkou nebylo počítáno v návrhu rozpočtu na rok 2020, tudíž není pokryto (Usnesení Vlády ČR, které mění platové třídy zaměstnanců, bylo projednáno 16. 12. 2019).</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Z důvodu personální stabilizace pracovníků městské policie a na základě zhoršujícího se bezpečnostního rizika pro pracovníky městské policie požadujeme navýšení rizikového příplatku, který je v souladu s § 8 </w:t>
      </w:r>
      <w:proofErr w:type="spellStart"/>
      <w:r w:rsidRPr="007154F7">
        <w:rPr>
          <w:rFonts w:ascii="Verdana" w:hAnsi="Verdana"/>
          <w:sz w:val="20"/>
          <w:szCs w:val="20"/>
        </w:rPr>
        <w:t>NV.č</w:t>
      </w:r>
      <w:proofErr w:type="spellEnd"/>
      <w:r w:rsidRPr="007154F7">
        <w:rPr>
          <w:rFonts w:ascii="Verdana" w:hAnsi="Verdana"/>
          <w:sz w:val="20"/>
          <w:szCs w:val="20"/>
        </w:rPr>
        <w:t xml:space="preserve">. 222/2010 </w:t>
      </w:r>
      <w:proofErr w:type="spellStart"/>
      <w:r w:rsidRPr="007154F7">
        <w:rPr>
          <w:rFonts w:ascii="Verdana" w:hAnsi="Verdana"/>
          <w:sz w:val="20"/>
          <w:szCs w:val="20"/>
        </w:rPr>
        <w:t>Sb</w:t>
      </w:r>
      <w:proofErr w:type="spellEnd"/>
      <w:r w:rsidRPr="007154F7">
        <w:rPr>
          <w:rFonts w:ascii="Verdana" w:hAnsi="Verdana"/>
          <w:sz w:val="20"/>
          <w:szCs w:val="20"/>
        </w:rPr>
        <w:t xml:space="preserve"> ve znění pozdějších předpisů v rozmezí od 1 880 Kč až 7 500 Kč. </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Současný přiznaný rizikový příspěvek je ve výši 2 500 Kč (nebyl navýšen více jak 15 let oproti bezpečnostnímu riziku v době, kdy byl rizikový příplatek přiznán). Rizikový příplatek navrhujeme zvýšit o částku 1 000  Kč, tedy na celkovou částku 3 500 Kč.</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24 strážníků x1 000x12x1,338% = 385 344 Kč včetně odvodů ZP+SP.</w:t>
      </w:r>
    </w:p>
    <w:p w:rsidR="004B6D91" w:rsidRPr="007154F7" w:rsidRDefault="004B6D91" w:rsidP="007154F7">
      <w:pPr>
        <w:pStyle w:val="Normlnweb"/>
        <w:spacing w:before="0" w:beforeAutospacing="0" w:after="0" w:afterAutospacing="0" w:line="276" w:lineRule="auto"/>
        <w:jc w:val="both"/>
        <w:rPr>
          <w:rStyle w:val="ZkladntextChar"/>
          <w:rFonts w:ascii="Verdana" w:hAnsi="Verdana"/>
          <w:sz w:val="20"/>
          <w:szCs w:val="20"/>
        </w:rPr>
      </w:pPr>
      <w:r w:rsidRPr="007154F7">
        <w:rPr>
          <w:rFonts w:ascii="Verdana" w:hAnsi="Verdana"/>
          <w:sz w:val="20"/>
          <w:szCs w:val="20"/>
        </w:rPr>
        <w:t>Požadovaná částka navýšení rozpočtu 2020 MP mzdy je 894 641,- Kč včetně odvodů ZP+SP.</w:t>
      </w:r>
      <w:r w:rsidRPr="007154F7">
        <w:rPr>
          <w:rStyle w:val="ZkladntextChar"/>
          <w:rFonts w:ascii="Verdana" w:hAnsi="Verdana"/>
          <w:sz w:val="20"/>
          <w:szCs w:val="20"/>
        </w:rPr>
        <w:t xml:space="preserve"> </w:t>
      </w:r>
    </w:p>
    <w:tbl>
      <w:tblPr>
        <w:tblW w:w="964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0"/>
        <w:gridCol w:w="421"/>
        <w:gridCol w:w="422"/>
        <w:gridCol w:w="424"/>
        <w:gridCol w:w="649"/>
        <w:gridCol w:w="1340"/>
        <w:gridCol w:w="1340"/>
        <w:gridCol w:w="1340"/>
        <w:gridCol w:w="3258"/>
      </w:tblGrid>
      <w:tr w:rsidR="007154F7" w:rsidRPr="007154F7" w:rsidTr="007154F7">
        <w:trPr>
          <w:trHeight w:val="288"/>
        </w:trPr>
        <w:tc>
          <w:tcPr>
            <w:tcW w:w="407" w:type="dxa"/>
            <w:shd w:val="clear" w:color="000000" w:fill="EEECE1"/>
            <w:noWrap/>
            <w:hideMark/>
          </w:tcPr>
          <w:p w:rsidR="004B6D91" w:rsidRPr="007154F7" w:rsidRDefault="004B6D91" w:rsidP="007154F7">
            <w:pPr>
              <w:spacing w:after="0"/>
              <w:jc w:val="both"/>
              <w:rPr>
                <w:rFonts w:ascii="Verdana" w:hAnsi="Verdana"/>
                <w:b/>
                <w:bCs/>
                <w:sz w:val="20"/>
                <w:szCs w:val="20"/>
              </w:rPr>
            </w:pPr>
            <w:proofErr w:type="gramStart"/>
            <w:r w:rsidRPr="007154F7">
              <w:rPr>
                <w:rFonts w:ascii="Verdana" w:hAnsi="Verdana"/>
                <w:b/>
                <w:bCs/>
                <w:sz w:val="20"/>
                <w:szCs w:val="20"/>
              </w:rPr>
              <w:t>Od</w:t>
            </w:r>
            <w:proofErr w:type="gramEnd"/>
          </w:p>
        </w:tc>
        <w:tc>
          <w:tcPr>
            <w:tcW w:w="366" w:type="dxa"/>
            <w:shd w:val="clear" w:color="000000" w:fill="EEECE1"/>
            <w:noWrap/>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Pa</w:t>
            </w:r>
          </w:p>
        </w:tc>
        <w:tc>
          <w:tcPr>
            <w:tcW w:w="364" w:type="dxa"/>
            <w:shd w:val="clear" w:color="000000" w:fill="EEECE1"/>
            <w:noWrap/>
            <w:hideMark/>
          </w:tcPr>
          <w:p w:rsidR="004B6D91" w:rsidRPr="007154F7" w:rsidRDefault="004B6D91" w:rsidP="007154F7">
            <w:pPr>
              <w:spacing w:after="0"/>
              <w:jc w:val="both"/>
              <w:rPr>
                <w:rFonts w:ascii="Verdana" w:hAnsi="Verdana"/>
                <w:b/>
                <w:bCs/>
                <w:sz w:val="20"/>
                <w:szCs w:val="20"/>
              </w:rPr>
            </w:pPr>
            <w:proofErr w:type="spellStart"/>
            <w:r w:rsidRPr="007154F7">
              <w:rPr>
                <w:rFonts w:ascii="Verdana" w:hAnsi="Verdana"/>
                <w:b/>
                <w:bCs/>
                <w:sz w:val="20"/>
                <w:szCs w:val="20"/>
              </w:rPr>
              <w:t>Sp</w:t>
            </w:r>
            <w:proofErr w:type="spellEnd"/>
          </w:p>
        </w:tc>
        <w:tc>
          <w:tcPr>
            <w:tcW w:w="376" w:type="dxa"/>
            <w:shd w:val="clear" w:color="000000" w:fill="EEECE1"/>
            <w:noWrap/>
            <w:hideMark/>
          </w:tcPr>
          <w:p w:rsidR="004B6D91" w:rsidRPr="007154F7" w:rsidRDefault="004B6D91" w:rsidP="007154F7">
            <w:pPr>
              <w:spacing w:after="0"/>
              <w:jc w:val="both"/>
              <w:rPr>
                <w:rFonts w:ascii="Verdana" w:hAnsi="Verdana"/>
                <w:b/>
                <w:bCs/>
                <w:sz w:val="20"/>
                <w:szCs w:val="20"/>
              </w:rPr>
            </w:pPr>
            <w:proofErr w:type="gramStart"/>
            <w:r w:rsidRPr="007154F7">
              <w:rPr>
                <w:rFonts w:ascii="Verdana" w:hAnsi="Verdana"/>
                <w:b/>
                <w:bCs/>
                <w:sz w:val="20"/>
                <w:szCs w:val="20"/>
              </w:rPr>
              <w:t>Po</w:t>
            </w:r>
            <w:proofErr w:type="gramEnd"/>
          </w:p>
        </w:tc>
        <w:tc>
          <w:tcPr>
            <w:tcW w:w="587" w:type="dxa"/>
            <w:shd w:val="clear" w:color="000000" w:fill="EEECE1"/>
            <w:noWrap/>
            <w:hideMark/>
          </w:tcPr>
          <w:p w:rsidR="004B6D91" w:rsidRPr="007154F7" w:rsidRDefault="004B6D91" w:rsidP="007154F7">
            <w:pPr>
              <w:spacing w:after="0"/>
              <w:jc w:val="both"/>
              <w:rPr>
                <w:rFonts w:ascii="Verdana" w:hAnsi="Verdana"/>
                <w:b/>
                <w:bCs/>
                <w:sz w:val="20"/>
                <w:szCs w:val="20"/>
              </w:rPr>
            </w:pPr>
            <w:proofErr w:type="spellStart"/>
            <w:r w:rsidRPr="007154F7">
              <w:rPr>
                <w:rFonts w:ascii="Verdana" w:hAnsi="Verdana"/>
                <w:b/>
                <w:bCs/>
                <w:sz w:val="20"/>
                <w:szCs w:val="20"/>
              </w:rPr>
              <w:t>OrJ</w:t>
            </w:r>
            <w:proofErr w:type="spellEnd"/>
            <w:r w:rsidRPr="007154F7">
              <w:rPr>
                <w:rFonts w:ascii="Verdana" w:hAnsi="Verdana"/>
                <w:b/>
                <w:bCs/>
                <w:sz w:val="20"/>
                <w:szCs w:val="20"/>
              </w:rPr>
              <w:t xml:space="preserve">  </w:t>
            </w:r>
          </w:p>
        </w:tc>
        <w:tc>
          <w:tcPr>
            <w:tcW w:w="1340" w:type="dxa"/>
            <w:shd w:val="clear" w:color="000000" w:fill="EEECE1"/>
            <w:noWrap/>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Rozpočet</w:t>
            </w:r>
          </w:p>
        </w:tc>
        <w:tc>
          <w:tcPr>
            <w:tcW w:w="1340" w:type="dxa"/>
            <w:shd w:val="clear" w:color="000000" w:fill="EEECE1"/>
            <w:noWrap/>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úprava</w:t>
            </w:r>
          </w:p>
        </w:tc>
        <w:tc>
          <w:tcPr>
            <w:tcW w:w="1340" w:type="dxa"/>
            <w:shd w:val="clear" w:color="000000" w:fill="EEECE1"/>
            <w:noWrap/>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po úpravě</w:t>
            </w:r>
          </w:p>
        </w:tc>
        <w:tc>
          <w:tcPr>
            <w:tcW w:w="3524" w:type="dxa"/>
            <w:shd w:val="clear" w:color="000000" w:fill="EEECE1"/>
            <w:hideMark/>
          </w:tcPr>
          <w:p w:rsidR="004B6D91" w:rsidRPr="007154F7" w:rsidRDefault="004B6D91" w:rsidP="007154F7">
            <w:pPr>
              <w:spacing w:after="0"/>
              <w:jc w:val="both"/>
              <w:rPr>
                <w:rFonts w:ascii="Verdana" w:hAnsi="Verdana"/>
                <w:b/>
                <w:bCs/>
                <w:sz w:val="20"/>
                <w:szCs w:val="20"/>
              </w:rPr>
            </w:pPr>
            <w:r w:rsidRPr="007154F7">
              <w:rPr>
                <w:rFonts w:ascii="Verdana" w:hAnsi="Verdana"/>
                <w:b/>
                <w:bCs/>
                <w:sz w:val="20"/>
                <w:szCs w:val="20"/>
              </w:rPr>
              <w:t xml:space="preserve">Text                          </w:t>
            </w:r>
          </w:p>
        </w:tc>
      </w:tr>
      <w:tr w:rsidR="007154F7" w:rsidRPr="007154F7" w:rsidTr="007154F7">
        <w:trPr>
          <w:trHeight w:val="288"/>
        </w:trPr>
        <w:tc>
          <w:tcPr>
            <w:tcW w:w="407" w:type="dxa"/>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53</w:t>
            </w:r>
          </w:p>
        </w:tc>
        <w:tc>
          <w:tcPr>
            <w:tcW w:w="366" w:type="dxa"/>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11</w:t>
            </w:r>
          </w:p>
        </w:tc>
        <w:tc>
          <w:tcPr>
            <w:tcW w:w="364" w:type="dxa"/>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50</w:t>
            </w:r>
          </w:p>
        </w:tc>
        <w:tc>
          <w:tcPr>
            <w:tcW w:w="376" w:type="dxa"/>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11</w:t>
            </w:r>
          </w:p>
        </w:tc>
        <w:tc>
          <w:tcPr>
            <w:tcW w:w="587" w:type="dxa"/>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2100</w:t>
            </w:r>
          </w:p>
        </w:tc>
        <w:tc>
          <w:tcPr>
            <w:tcW w:w="1340" w:type="dxa"/>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11 103 000</w:t>
            </w:r>
          </w:p>
        </w:tc>
        <w:tc>
          <w:tcPr>
            <w:tcW w:w="1340" w:type="dxa"/>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668 640</w:t>
            </w:r>
          </w:p>
        </w:tc>
        <w:tc>
          <w:tcPr>
            <w:tcW w:w="1340" w:type="dxa"/>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11 771 640</w:t>
            </w:r>
          </w:p>
        </w:tc>
        <w:tc>
          <w:tcPr>
            <w:tcW w:w="3524" w:type="dxa"/>
            <w:shd w:val="clear" w:color="auto" w:fill="auto"/>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MP - mzdy</w:t>
            </w:r>
          </w:p>
        </w:tc>
      </w:tr>
      <w:tr w:rsidR="007154F7" w:rsidRPr="007154F7" w:rsidTr="007154F7">
        <w:trPr>
          <w:trHeight w:val="288"/>
        </w:trPr>
        <w:tc>
          <w:tcPr>
            <w:tcW w:w="407" w:type="dxa"/>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53</w:t>
            </w:r>
          </w:p>
        </w:tc>
        <w:tc>
          <w:tcPr>
            <w:tcW w:w="366" w:type="dxa"/>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11</w:t>
            </w:r>
          </w:p>
        </w:tc>
        <w:tc>
          <w:tcPr>
            <w:tcW w:w="364" w:type="dxa"/>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50</w:t>
            </w:r>
          </w:p>
        </w:tc>
        <w:tc>
          <w:tcPr>
            <w:tcW w:w="376" w:type="dxa"/>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31</w:t>
            </w:r>
          </w:p>
        </w:tc>
        <w:tc>
          <w:tcPr>
            <w:tcW w:w="587" w:type="dxa"/>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2100</w:t>
            </w:r>
          </w:p>
        </w:tc>
        <w:tc>
          <w:tcPr>
            <w:tcW w:w="1340" w:type="dxa"/>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2 753 544</w:t>
            </w:r>
          </w:p>
        </w:tc>
        <w:tc>
          <w:tcPr>
            <w:tcW w:w="1340" w:type="dxa"/>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165 823</w:t>
            </w:r>
          </w:p>
        </w:tc>
        <w:tc>
          <w:tcPr>
            <w:tcW w:w="1340" w:type="dxa"/>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2 919 367</w:t>
            </w:r>
          </w:p>
        </w:tc>
        <w:tc>
          <w:tcPr>
            <w:tcW w:w="3524" w:type="dxa"/>
            <w:shd w:val="clear" w:color="auto" w:fill="auto"/>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MP - sociální pojistné</w:t>
            </w:r>
          </w:p>
        </w:tc>
      </w:tr>
      <w:tr w:rsidR="007154F7" w:rsidRPr="007154F7" w:rsidTr="007154F7">
        <w:trPr>
          <w:trHeight w:val="288"/>
        </w:trPr>
        <w:tc>
          <w:tcPr>
            <w:tcW w:w="407" w:type="dxa"/>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53</w:t>
            </w:r>
          </w:p>
        </w:tc>
        <w:tc>
          <w:tcPr>
            <w:tcW w:w="366" w:type="dxa"/>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11</w:t>
            </w:r>
          </w:p>
        </w:tc>
        <w:tc>
          <w:tcPr>
            <w:tcW w:w="364" w:type="dxa"/>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50</w:t>
            </w:r>
          </w:p>
        </w:tc>
        <w:tc>
          <w:tcPr>
            <w:tcW w:w="376" w:type="dxa"/>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32</w:t>
            </w:r>
          </w:p>
        </w:tc>
        <w:tc>
          <w:tcPr>
            <w:tcW w:w="587" w:type="dxa"/>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2100</w:t>
            </w:r>
          </w:p>
        </w:tc>
        <w:tc>
          <w:tcPr>
            <w:tcW w:w="1340" w:type="dxa"/>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999 270</w:t>
            </w:r>
          </w:p>
        </w:tc>
        <w:tc>
          <w:tcPr>
            <w:tcW w:w="1340" w:type="dxa"/>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60 178</w:t>
            </w:r>
          </w:p>
        </w:tc>
        <w:tc>
          <w:tcPr>
            <w:tcW w:w="1340" w:type="dxa"/>
            <w:shd w:val="clear" w:color="auto" w:fill="auto"/>
            <w:noWrap/>
            <w:vAlign w:val="bottom"/>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1 059 448</w:t>
            </w:r>
          </w:p>
        </w:tc>
        <w:tc>
          <w:tcPr>
            <w:tcW w:w="3524" w:type="dxa"/>
            <w:shd w:val="clear" w:color="auto" w:fill="auto"/>
            <w:vAlign w:val="center"/>
            <w:hideMark/>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MP - zdravotní pojistné</w:t>
            </w:r>
          </w:p>
        </w:tc>
      </w:tr>
      <w:tr w:rsidR="007154F7" w:rsidRPr="007154F7" w:rsidTr="007154F7">
        <w:trPr>
          <w:trHeight w:val="288"/>
        </w:trPr>
        <w:tc>
          <w:tcPr>
            <w:tcW w:w="407" w:type="dxa"/>
            <w:shd w:val="clear" w:color="auto" w:fill="auto"/>
            <w:noWrap/>
            <w:vAlign w:val="center"/>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52</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61</w:t>
            </w:r>
          </w:p>
        </w:tc>
        <w:tc>
          <w:tcPr>
            <w:tcW w:w="366" w:type="dxa"/>
            <w:shd w:val="clear" w:color="auto" w:fill="auto"/>
            <w:noWrap/>
            <w:vAlign w:val="center"/>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13</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71</w:t>
            </w:r>
          </w:p>
        </w:tc>
        <w:tc>
          <w:tcPr>
            <w:tcW w:w="364" w:type="dxa"/>
            <w:shd w:val="clear" w:color="auto" w:fill="auto"/>
            <w:noWrap/>
            <w:vAlign w:val="center"/>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51</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59</w:t>
            </w:r>
          </w:p>
        </w:tc>
        <w:tc>
          <w:tcPr>
            <w:tcW w:w="376" w:type="dxa"/>
            <w:shd w:val="clear" w:color="auto" w:fill="auto"/>
            <w:noWrap/>
            <w:vAlign w:val="center"/>
          </w:tcPr>
          <w:p w:rsidR="004B6D91" w:rsidRPr="007154F7" w:rsidRDefault="004B6D91" w:rsidP="007154F7">
            <w:pPr>
              <w:spacing w:after="0"/>
              <w:jc w:val="both"/>
              <w:rPr>
                <w:rFonts w:ascii="Verdana" w:hAnsi="Verdana"/>
                <w:sz w:val="20"/>
                <w:szCs w:val="20"/>
              </w:rPr>
            </w:pPr>
            <w:proofErr w:type="spellStart"/>
            <w:r w:rsidRPr="007154F7">
              <w:rPr>
                <w:rFonts w:ascii="Verdana" w:hAnsi="Verdana"/>
                <w:sz w:val="20"/>
                <w:szCs w:val="20"/>
              </w:rPr>
              <w:t>Xx</w:t>
            </w:r>
            <w:proofErr w:type="spellEnd"/>
          </w:p>
          <w:p w:rsidR="004B6D91" w:rsidRPr="007154F7" w:rsidRDefault="004B6D91" w:rsidP="007154F7">
            <w:pPr>
              <w:spacing w:after="0"/>
              <w:jc w:val="both"/>
              <w:rPr>
                <w:rFonts w:ascii="Verdana" w:hAnsi="Verdana"/>
                <w:sz w:val="20"/>
                <w:szCs w:val="20"/>
              </w:rPr>
            </w:pPr>
            <w:r w:rsidRPr="007154F7">
              <w:rPr>
                <w:rFonts w:ascii="Verdana" w:hAnsi="Verdana"/>
                <w:sz w:val="20"/>
                <w:szCs w:val="20"/>
              </w:rPr>
              <w:t>01</w:t>
            </w:r>
          </w:p>
        </w:tc>
        <w:tc>
          <w:tcPr>
            <w:tcW w:w="587" w:type="dxa"/>
            <w:tcBorders>
              <w:bottom w:val="single" w:sz="4" w:space="0" w:color="auto"/>
            </w:tcBorders>
            <w:shd w:val="clear" w:color="auto" w:fill="auto"/>
            <w:noWrap/>
            <w:vAlign w:val="center"/>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2xxx</w:t>
            </w:r>
          </w:p>
        </w:tc>
        <w:tc>
          <w:tcPr>
            <w:tcW w:w="1340" w:type="dxa"/>
            <w:shd w:val="clear" w:color="auto" w:fill="auto"/>
            <w:noWrap/>
            <w:vAlign w:val="center"/>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100 000</w:t>
            </w:r>
          </w:p>
        </w:tc>
        <w:tc>
          <w:tcPr>
            <w:tcW w:w="1340" w:type="dxa"/>
            <w:shd w:val="clear" w:color="auto" w:fill="auto"/>
            <w:noWrap/>
            <w:vAlign w:val="center"/>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1 221 838</w:t>
            </w:r>
          </w:p>
        </w:tc>
        <w:tc>
          <w:tcPr>
            <w:tcW w:w="1340" w:type="dxa"/>
            <w:shd w:val="clear" w:color="auto" w:fill="auto"/>
            <w:noWrap/>
            <w:vAlign w:val="center"/>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1 321 838</w:t>
            </w:r>
          </w:p>
        </w:tc>
        <w:tc>
          <w:tcPr>
            <w:tcW w:w="3524" w:type="dxa"/>
            <w:shd w:val="clear" w:color="auto" w:fill="auto"/>
            <w:vAlign w:val="center"/>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Krizová opatření a Rozpočtová rezerva</w:t>
            </w:r>
          </w:p>
        </w:tc>
      </w:tr>
      <w:tr w:rsidR="007154F7" w:rsidRPr="007154F7" w:rsidTr="007154F7">
        <w:trPr>
          <w:trHeight w:val="288"/>
        </w:trPr>
        <w:tc>
          <w:tcPr>
            <w:tcW w:w="407" w:type="dxa"/>
            <w:shd w:val="clear" w:color="auto" w:fill="auto"/>
            <w:noWrap/>
            <w:vAlign w:val="bottom"/>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63</w:t>
            </w:r>
          </w:p>
        </w:tc>
        <w:tc>
          <w:tcPr>
            <w:tcW w:w="366" w:type="dxa"/>
            <w:shd w:val="clear" w:color="auto" w:fill="auto"/>
            <w:noWrap/>
            <w:vAlign w:val="bottom"/>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30</w:t>
            </w:r>
          </w:p>
        </w:tc>
        <w:tc>
          <w:tcPr>
            <w:tcW w:w="364" w:type="dxa"/>
            <w:shd w:val="clear" w:color="auto" w:fill="auto"/>
            <w:noWrap/>
            <w:vAlign w:val="bottom"/>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41</w:t>
            </w:r>
          </w:p>
        </w:tc>
        <w:tc>
          <w:tcPr>
            <w:tcW w:w="376" w:type="dxa"/>
            <w:shd w:val="clear" w:color="auto" w:fill="auto"/>
            <w:noWrap/>
            <w:vAlign w:val="bottom"/>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32</w:t>
            </w:r>
          </w:p>
        </w:tc>
        <w:tc>
          <w:tcPr>
            <w:tcW w:w="587" w:type="dxa"/>
            <w:tcBorders>
              <w:bottom w:val="nil"/>
            </w:tcBorders>
            <w:shd w:val="clear" w:color="auto" w:fill="auto"/>
            <w:noWrap/>
            <w:vAlign w:val="bottom"/>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2200</w:t>
            </w:r>
          </w:p>
        </w:tc>
        <w:tc>
          <w:tcPr>
            <w:tcW w:w="1340" w:type="dxa"/>
            <w:shd w:val="clear" w:color="auto" w:fill="auto"/>
            <w:noWrap/>
            <w:vAlign w:val="bottom"/>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0</w:t>
            </w:r>
          </w:p>
        </w:tc>
        <w:tc>
          <w:tcPr>
            <w:tcW w:w="1340" w:type="dxa"/>
            <w:shd w:val="clear" w:color="auto" w:fill="auto"/>
            <w:noWrap/>
            <w:vAlign w:val="bottom"/>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2 116 479</w:t>
            </w:r>
          </w:p>
        </w:tc>
        <w:tc>
          <w:tcPr>
            <w:tcW w:w="1340" w:type="dxa"/>
            <w:shd w:val="clear" w:color="auto" w:fill="auto"/>
            <w:noWrap/>
            <w:vAlign w:val="bottom"/>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2 116 479</w:t>
            </w:r>
          </w:p>
        </w:tc>
        <w:tc>
          <w:tcPr>
            <w:tcW w:w="3524" w:type="dxa"/>
            <w:shd w:val="clear" w:color="auto" w:fill="auto"/>
            <w:vAlign w:val="center"/>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Převod z depozitního účtu</w:t>
            </w:r>
          </w:p>
        </w:tc>
      </w:tr>
    </w:tbl>
    <w:p w:rsidR="004B6D91" w:rsidRPr="007154F7" w:rsidRDefault="004B6D91" w:rsidP="007154F7">
      <w:pPr>
        <w:spacing w:after="0"/>
        <w:jc w:val="both"/>
        <w:rPr>
          <w:rFonts w:ascii="Verdana" w:hAnsi="Verdana"/>
          <w:sz w:val="20"/>
          <w:szCs w:val="20"/>
        </w:rPr>
      </w:pPr>
    </w:p>
    <w:p w:rsidR="004B6D91" w:rsidRPr="007154F7" w:rsidRDefault="004B6D91" w:rsidP="007154F7">
      <w:pPr>
        <w:spacing w:after="0"/>
        <w:jc w:val="both"/>
        <w:outlineLvl w:val="0"/>
        <w:rPr>
          <w:rFonts w:ascii="Verdana" w:hAnsi="Verdana"/>
          <w:b/>
          <w:sz w:val="20"/>
          <w:szCs w:val="20"/>
        </w:rPr>
      </w:pPr>
      <w:r w:rsidRPr="007154F7">
        <w:rPr>
          <w:rFonts w:ascii="Verdana" w:hAnsi="Verdana"/>
          <w:b/>
          <w:sz w:val="20"/>
          <w:szCs w:val="20"/>
        </w:rPr>
        <w:t>2/04 Návrh na odpis pohledávek</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_______________________________________________________________________</w:t>
      </w:r>
    </w:p>
    <w:p w:rsidR="004B6D91" w:rsidRPr="007154F7" w:rsidRDefault="004B6D91" w:rsidP="007154F7">
      <w:pPr>
        <w:pStyle w:val="Zhlav"/>
        <w:spacing w:line="276" w:lineRule="auto"/>
        <w:jc w:val="both"/>
        <w:rPr>
          <w:rFonts w:ascii="Verdana" w:hAnsi="Verdana"/>
          <w:b/>
          <w:sz w:val="20"/>
          <w:szCs w:val="20"/>
        </w:rPr>
      </w:pPr>
      <w:r w:rsidRPr="007154F7">
        <w:rPr>
          <w:rFonts w:ascii="Verdana" w:hAnsi="Verdana"/>
          <w:b/>
          <w:sz w:val="20"/>
          <w:szCs w:val="20"/>
        </w:rPr>
        <w:t>Zápis z odpisové komise</w:t>
      </w:r>
    </w:p>
    <w:tbl>
      <w:tblPr>
        <w:tblW w:w="9715" w:type="dxa"/>
        <w:tblInd w:w="-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55" w:type="dxa"/>
          <w:right w:w="70" w:type="dxa"/>
        </w:tblCellMar>
        <w:tblLook w:val="04A0" w:firstRow="1" w:lastRow="0" w:firstColumn="1" w:lastColumn="0" w:noHBand="0" w:noVBand="1"/>
      </w:tblPr>
      <w:tblGrid>
        <w:gridCol w:w="2055"/>
        <w:gridCol w:w="7660"/>
      </w:tblGrid>
      <w:tr w:rsidR="007154F7" w:rsidRPr="007154F7" w:rsidTr="007154F7">
        <w:trPr>
          <w:trHeight w:val="302"/>
        </w:trPr>
        <w:tc>
          <w:tcPr>
            <w:tcW w:w="2055" w:type="dxa"/>
            <w:tcBorders>
              <w:top w:val="single" w:sz="4" w:space="0" w:color="C0C0C0"/>
              <w:left w:val="single" w:sz="4" w:space="0" w:color="C0C0C0"/>
              <w:bottom w:val="single" w:sz="4" w:space="0" w:color="C0C0C0"/>
              <w:right w:val="single" w:sz="4" w:space="0" w:color="C0C0C0"/>
            </w:tcBorders>
            <w:shd w:val="clear" w:color="auto" w:fill="auto"/>
            <w:tcMar>
              <w:left w:w="55" w:type="dxa"/>
            </w:tcMar>
          </w:tcPr>
          <w:p w:rsidR="004B6D91" w:rsidRPr="007154F7" w:rsidRDefault="004B6D91" w:rsidP="007154F7">
            <w:pPr>
              <w:spacing w:after="0"/>
              <w:jc w:val="both"/>
              <w:rPr>
                <w:rFonts w:ascii="Verdana" w:hAnsi="Verdana"/>
                <w:sz w:val="20"/>
                <w:szCs w:val="20"/>
              </w:rPr>
            </w:pPr>
            <w:r w:rsidRPr="007154F7">
              <w:rPr>
                <w:rFonts w:ascii="Verdana" w:hAnsi="Verdana"/>
                <w:b/>
                <w:sz w:val="20"/>
                <w:szCs w:val="20"/>
              </w:rPr>
              <w:t>Číslo:</w:t>
            </w:r>
          </w:p>
        </w:tc>
        <w:tc>
          <w:tcPr>
            <w:tcW w:w="7660" w:type="dxa"/>
            <w:tcBorders>
              <w:top w:val="single" w:sz="4" w:space="0" w:color="C0C0C0"/>
              <w:left w:val="single" w:sz="4" w:space="0" w:color="C0C0C0"/>
              <w:bottom w:val="single" w:sz="4" w:space="0" w:color="C0C0C0"/>
              <w:right w:val="single" w:sz="4" w:space="0" w:color="C0C0C0"/>
            </w:tcBorders>
            <w:shd w:val="clear" w:color="auto" w:fill="auto"/>
            <w:tcMar>
              <w:left w:w="55" w:type="dxa"/>
            </w:tcMar>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14</w:t>
            </w:r>
          </w:p>
        </w:tc>
      </w:tr>
      <w:tr w:rsidR="007154F7" w:rsidRPr="007154F7" w:rsidTr="007154F7">
        <w:trPr>
          <w:trHeight w:val="341"/>
        </w:trPr>
        <w:tc>
          <w:tcPr>
            <w:tcW w:w="2055" w:type="dxa"/>
            <w:tcBorders>
              <w:top w:val="single" w:sz="4" w:space="0" w:color="C0C0C0"/>
              <w:left w:val="single" w:sz="4" w:space="0" w:color="C0C0C0"/>
              <w:bottom w:val="single" w:sz="4" w:space="0" w:color="C0C0C0"/>
              <w:right w:val="single" w:sz="4" w:space="0" w:color="C0C0C0"/>
            </w:tcBorders>
            <w:shd w:val="clear" w:color="auto" w:fill="auto"/>
            <w:tcMar>
              <w:left w:w="55" w:type="dxa"/>
            </w:tcMar>
          </w:tcPr>
          <w:p w:rsidR="004B6D91" w:rsidRPr="007154F7" w:rsidRDefault="004B6D91" w:rsidP="007154F7">
            <w:pPr>
              <w:pStyle w:val="Zhlav"/>
              <w:spacing w:line="276" w:lineRule="auto"/>
              <w:jc w:val="both"/>
              <w:rPr>
                <w:rFonts w:ascii="Verdana" w:hAnsi="Verdana"/>
                <w:b/>
                <w:sz w:val="20"/>
                <w:szCs w:val="20"/>
              </w:rPr>
            </w:pPr>
            <w:r w:rsidRPr="007154F7">
              <w:rPr>
                <w:rFonts w:ascii="Verdana" w:hAnsi="Verdana"/>
                <w:b/>
                <w:sz w:val="20"/>
                <w:szCs w:val="20"/>
              </w:rPr>
              <w:t xml:space="preserve">Předseda </w:t>
            </w:r>
          </w:p>
        </w:tc>
        <w:tc>
          <w:tcPr>
            <w:tcW w:w="7660" w:type="dxa"/>
            <w:tcBorders>
              <w:top w:val="single" w:sz="4" w:space="0" w:color="C0C0C0"/>
              <w:left w:val="single" w:sz="4" w:space="0" w:color="C0C0C0"/>
              <w:bottom w:val="single" w:sz="4" w:space="0" w:color="C0C0C0"/>
              <w:right w:val="single" w:sz="4" w:space="0" w:color="C0C0C0"/>
            </w:tcBorders>
            <w:shd w:val="clear" w:color="auto" w:fill="auto"/>
            <w:tcMar>
              <w:left w:w="55" w:type="dxa"/>
            </w:tcMar>
          </w:tcPr>
          <w:p w:rsidR="004B6D91" w:rsidRPr="007154F7" w:rsidRDefault="004B6D91" w:rsidP="007154F7">
            <w:pPr>
              <w:pStyle w:val="Zhlav"/>
              <w:spacing w:line="276" w:lineRule="auto"/>
              <w:jc w:val="both"/>
              <w:rPr>
                <w:rFonts w:ascii="Verdana" w:hAnsi="Verdana"/>
                <w:sz w:val="20"/>
                <w:szCs w:val="20"/>
              </w:rPr>
            </w:pPr>
            <w:r w:rsidRPr="007154F7">
              <w:rPr>
                <w:rFonts w:ascii="Verdana" w:hAnsi="Verdana"/>
                <w:sz w:val="20"/>
                <w:szCs w:val="20"/>
              </w:rPr>
              <w:t xml:space="preserve">Tomáš Hobl - tajemník </w:t>
            </w:r>
          </w:p>
        </w:tc>
      </w:tr>
      <w:tr w:rsidR="007154F7" w:rsidRPr="007154F7" w:rsidTr="007154F7">
        <w:trPr>
          <w:trHeight w:val="288"/>
        </w:trPr>
        <w:tc>
          <w:tcPr>
            <w:tcW w:w="2055" w:type="dxa"/>
            <w:tcBorders>
              <w:top w:val="single" w:sz="4" w:space="0" w:color="C0C0C0"/>
              <w:left w:val="single" w:sz="4" w:space="0" w:color="C0C0C0"/>
              <w:bottom w:val="single" w:sz="4" w:space="0" w:color="C0C0C0"/>
              <w:right w:val="single" w:sz="4" w:space="0" w:color="C0C0C0"/>
            </w:tcBorders>
            <w:shd w:val="clear" w:color="auto" w:fill="auto"/>
            <w:tcMar>
              <w:left w:w="55" w:type="dxa"/>
            </w:tcMar>
          </w:tcPr>
          <w:p w:rsidR="004B6D91" w:rsidRPr="007154F7" w:rsidRDefault="004B6D91" w:rsidP="007154F7">
            <w:pPr>
              <w:pStyle w:val="Zhlav"/>
              <w:spacing w:line="276" w:lineRule="auto"/>
              <w:jc w:val="both"/>
              <w:rPr>
                <w:rFonts w:ascii="Verdana" w:hAnsi="Verdana"/>
                <w:b/>
                <w:sz w:val="20"/>
                <w:szCs w:val="20"/>
              </w:rPr>
            </w:pPr>
            <w:r w:rsidRPr="007154F7">
              <w:rPr>
                <w:rFonts w:ascii="Verdana" w:hAnsi="Verdana"/>
                <w:b/>
                <w:sz w:val="20"/>
                <w:szCs w:val="20"/>
              </w:rPr>
              <w:t>Členové:</w:t>
            </w:r>
          </w:p>
        </w:tc>
        <w:tc>
          <w:tcPr>
            <w:tcW w:w="7660" w:type="dxa"/>
            <w:tcBorders>
              <w:top w:val="single" w:sz="4" w:space="0" w:color="C0C0C0"/>
              <w:left w:val="single" w:sz="4" w:space="0" w:color="C0C0C0"/>
              <w:bottom w:val="single" w:sz="4" w:space="0" w:color="C0C0C0"/>
              <w:right w:val="single" w:sz="4" w:space="0" w:color="C0C0C0"/>
            </w:tcBorders>
            <w:shd w:val="clear" w:color="auto" w:fill="auto"/>
            <w:tcMar>
              <w:left w:w="55" w:type="dxa"/>
            </w:tcMar>
          </w:tcPr>
          <w:p w:rsidR="004B6D91" w:rsidRPr="007154F7" w:rsidRDefault="004B6D91" w:rsidP="007154F7">
            <w:pPr>
              <w:pStyle w:val="Zhlav"/>
              <w:spacing w:line="276" w:lineRule="auto"/>
              <w:jc w:val="both"/>
              <w:rPr>
                <w:rFonts w:ascii="Verdana" w:hAnsi="Verdana"/>
                <w:b/>
                <w:sz w:val="20"/>
                <w:szCs w:val="20"/>
              </w:rPr>
            </w:pPr>
            <w:r w:rsidRPr="007154F7">
              <w:rPr>
                <w:rStyle w:val="Siln"/>
                <w:rFonts w:ascii="Verdana" w:hAnsi="Verdana"/>
                <w:sz w:val="20"/>
                <w:szCs w:val="20"/>
              </w:rPr>
              <w:t>Ing. Jiří Kukla (člen RM); RNDr. Robert Otruba (člen RM); Ing. František Tvrdík (vedoucí interního auditu); Ing. Monika Bulánková (vedoucí ekonomického odboru); Ing. Blanka Maternová (vedoucí správy majetku)</w:t>
            </w:r>
          </w:p>
        </w:tc>
      </w:tr>
      <w:tr w:rsidR="007154F7" w:rsidRPr="007154F7" w:rsidTr="007154F7">
        <w:trPr>
          <w:trHeight w:val="288"/>
        </w:trPr>
        <w:tc>
          <w:tcPr>
            <w:tcW w:w="2055" w:type="dxa"/>
            <w:tcBorders>
              <w:top w:val="single" w:sz="4" w:space="0" w:color="C0C0C0"/>
              <w:left w:val="single" w:sz="4" w:space="0" w:color="C0C0C0"/>
              <w:bottom w:val="single" w:sz="4" w:space="0" w:color="C0C0C0"/>
              <w:right w:val="single" w:sz="4" w:space="0" w:color="C0C0C0"/>
            </w:tcBorders>
            <w:shd w:val="clear" w:color="auto" w:fill="auto"/>
            <w:tcMar>
              <w:left w:w="55" w:type="dxa"/>
            </w:tcMar>
          </w:tcPr>
          <w:p w:rsidR="004B6D91" w:rsidRPr="007154F7" w:rsidRDefault="004B6D91" w:rsidP="007154F7">
            <w:pPr>
              <w:pStyle w:val="Zhlav"/>
              <w:spacing w:line="276" w:lineRule="auto"/>
              <w:jc w:val="both"/>
              <w:rPr>
                <w:rFonts w:ascii="Verdana" w:hAnsi="Verdana"/>
                <w:b/>
                <w:sz w:val="20"/>
                <w:szCs w:val="20"/>
              </w:rPr>
            </w:pPr>
            <w:r w:rsidRPr="007154F7">
              <w:rPr>
                <w:rFonts w:ascii="Verdana" w:hAnsi="Verdana"/>
                <w:b/>
                <w:sz w:val="20"/>
                <w:szCs w:val="20"/>
              </w:rPr>
              <w:t>Způsob projednání:</w:t>
            </w:r>
          </w:p>
        </w:tc>
        <w:tc>
          <w:tcPr>
            <w:tcW w:w="7660" w:type="dxa"/>
            <w:tcBorders>
              <w:top w:val="single" w:sz="4" w:space="0" w:color="C0C0C0"/>
              <w:left w:val="single" w:sz="4" w:space="0" w:color="C0C0C0"/>
              <w:bottom w:val="single" w:sz="4" w:space="0" w:color="C0C0C0"/>
              <w:right w:val="single" w:sz="4" w:space="0" w:color="C0C0C0"/>
            </w:tcBorders>
            <w:shd w:val="clear" w:color="auto" w:fill="auto"/>
            <w:tcMar>
              <w:left w:w="55" w:type="dxa"/>
            </w:tcMar>
          </w:tcPr>
          <w:p w:rsidR="004B6D91" w:rsidRPr="007154F7" w:rsidRDefault="004B6D91" w:rsidP="007154F7">
            <w:pPr>
              <w:pStyle w:val="Zhlav"/>
              <w:spacing w:line="276" w:lineRule="auto"/>
              <w:jc w:val="both"/>
              <w:rPr>
                <w:rFonts w:ascii="Verdana" w:hAnsi="Verdana"/>
                <w:sz w:val="20"/>
                <w:szCs w:val="20"/>
              </w:rPr>
            </w:pPr>
            <w:r w:rsidRPr="007154F7">
              <w:rPr>
                <w:rFonts w:ascii="Verdana" w:hAnsi="Verdana"/>
                <w:sz w:val="20"/>
                <w:szCs w:val="20"/>
              </w:rPr>
              <w:t xml:space="preserve">Per </w:t>
            </w:r>
            <w:proofErr w:type="spellStart"/>
            <w:r w:rsidRPr="007154F7">
              <w:rPr>
                <w:rFonts w:ascii="Verdana" w:hAnsi="Verdana"/>
                <w:sz w:val="20"/>
                <w:szCs w:val="20"/>
              </w:rPr>
              <w:t>rollam</w:t>
            </w:r>
            <w:proofErr w:type="spellEnd"/>
          </w:p>
        </w:tc>
      </w:tr>
    </w:tbl>
    <w:p w:rsidR="004B6D91" w:rsidRPr="007154F7" w:rsidRDefault="004B6D91" w:rsidP="007154F7">
      <w:pPr>
        <w:pStyle w:val="Zhlav"/>
        <w:shd w:val="clear" w:color="auto" w:fill="FFFFFF"/>
        <w:spacing w:line="276" w:lineRule="auto"/>
        <w:jc w:val="both"/>
        <w:rPr>
          <w:rFonts w:ascii="Verdana" w:hAnsi="Verdana"/>
          <w:sz w:val="20"/>
          <w:szCs w:val="20"/>
        </w:rPr>
      </w:pPr>
      <w:r w:rsidRPr="007154F7">
        <w:rPr>
          <w:rFonts w:ascii="Verdana" w:hAnsi="Verdana"/>
          <w:sz w:val="20"/>
          <w:szCs w:val="20"/>
        </w:rPr>
        <w:t>Komisi byly předloženy k posouzení tyto případy:</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Odbor správy majetku požádal již v roce 2018 oddělení interního auditu o stanovisko k odpisu nedobytných pohledávek a obdržel toto vyjádření: K Vaší žádosti ze dne </w:t>
      </w:r>
      <w:proofErr w:type="gramStart"/>
      <w:r w:rsidRPr="007154F7">
        <w:rPr>
          <w:rFonts w:ascii="Verdana" w:hAnsi="Verdana"/>
          <w:sz w:val="20"/>
          <w:szCs w:val="20"/>
        </w:rPr>
        <w:t>1.11.2018</w:t>
      </w:r>
      <w:proofErr w:type="gramEnd"/>
      <w:r w:rsidRPr="007154F7">
        <w:rPr>
          <w:rFonts w:ascii="Verdana" w:hAnsi="Verdana"/>
          <w:sz w:val="20"/>
          <w:szCs w:val="20"/>
        </w:rPr>
        <w:t xml:space="preserve"> týkající se možnosti odpisu níže uvedených pohledávek jsem toho názoru, že z důvodu jejich nedobytnosti je vhodné tyto pohledávky  odepsat, případně pohledávky, které jsou již promlčené, předložit do zastupitelstva města s návrhem na prominutí dluhu ve smyslu § 85 písm. f) zákona 128/2000 Sb. o obcích. U dlužníků byly vyčerpány všechny možnosti k vydobytí pohledávek, včetně využití služeb exekutora a neexistuje zde reálný předpoklad, že by se je podařilo v budoucnu úspěšně vymoci.</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Na základě uvedeného předkládá odbor správy majetku návrh k odpisu nedobytných pohledávek za předluženými a nemajetnými osobami o celkové výši 1 089 316,47 Kč.</w:t>
      </w:r>
    </w:p>
    <w:p w:rsidR="004B6D91" w:rsidRPr="007154F7" w:rsidRDefault="004B6D91" w:rsidP="007154F7">
      <w:pPr>
        <w:pStyle w:val="Nadpis1"/>
        <w:keepLines w:val="0"/>
        <w:numPr>
          <w:ilvl w:val="0"/>
          <w:numId w:val="1"/>
        </w:numPr>
        <w:shd w:val="clear" w:color="auto" w:fill="EEECE1" w:themeFill="background2"/>
        <w:tabs>
          <w:tab w:val="left" w:pos="907"/>
        </w:tabs>
        <w:spacing w:before="0"/>
        <w:ind w:left="0" w:firstLine="0"/>
        <w:jc w:val="both"/>
        <w:rPr>
          <w:rFonts w:ascii="Verdana" w:hAnsi="Verdana"/>
          <w:color w:val="auto"/>
          <w:sz w:val="20"/>
          <w:szCs w:val="20"/>
        </w:rPr>
      </w:pPr>
      <w:r w:rsidRPr="007154F7">
        <w:rPr>
          <w:rFonts w:ascii="Verdana" w:hAnsi="Verdana"/>
          <w:color w:val="auto"/>
          <w:sz w:val="20"/>
          <w:szCs w:val="20"/>
        </w:rPr>
        <w:t xml:space="preserve">Odpis pohledávky ve výši 197 319,00 Kč – </w:t>
      </w:r>
      <w:proofErr w:type="spellStart"/>
      <w:r w:rsidRPr="007154F7">
        <w:rPr>
          <w:rFonts w:ascii="Verdana" w:hAnsi="Verdana"/>
          <w:color w:val="auto"/>
          <w:sz w:val="20"/>
          <w:szCs w:val="20"/>
        </w:rPr>
        <w:t>xx</w:t>
      </w:r>
      <w:proofErr w:type="spellEnd"/>
      <w:r w:rsidRPr="007154F7">
        <w:rPr>
          <w:rFonts w:ascii="Verdana" w:hAnsi="Verdana"/>
          <w:color w:val="auto"/>
          <w:sz w:val="20"/>
          <w:szCs w:val="20"/>
        </w:rPr>
        <w:t>, užívání bytu č. 4, Pobřežní 47, Kutná Hora</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Pohledávka ve výši 197 319,00 Kč se týká nedoplatku předpisů nájemného a služeb spojených s užíváním bytu č. 4 v objektu Pobřežní 47, Kutná Hora za roky 2002 – 2004. Pan </w:t>
      </w:r>
      <w:proofErr w:type="spellStart"/>
      <w:r w:rsidRPr="007154F7">
        <w:rPr>
          <w:rFonts w:ascii="Verdana" w:hAnsi="Verdana"/>
          <w:sz w:val="20"/>
          <w:szCs w:val="20"/>
        </w:rPr>
        <w:t>xx</w:t>
      </w:r>
      <w:proofErr w:type="spellEnd"/>
      <w:r w:rsidRPr="007154F7">
        <w:rPr>
          <w:rFonts w:ascii="Verdana" w:hAnsi="Verdana"/>
          <w:sz w:val="20"/>
          <w:szCs w:val="20"/>
        </w:rPr>
        <w:t xml:space="preserve"> přestal v roce 2002 hradit nájemné. Dne 19.3.2004 nabyl právní moci rozsudek o přivolení k výpovědi z nájmu uvedeného bytu </w:t>
      </w:r>
      <w:proofErr w:type="gramStart"/>
      <w:r w:rsidRPr="007154F7">
        <w:rPr>
          <w:rFonts w:ascii="Verdana" w:hAnsi="Verdana"/>
          <w:sz w:val="20"/>
          <w:szCs w:val="20"/>
        </w:rPr>
        <w:t>č.j.</w:t>
      </w:r>
      <w:proofErr w:type="gramEnd"/>
      <w:r w:rsidRPr="007154F7">
        <w:rPr>
          <w:rFonts w:ascii="Verdana" w:hAnsi="Verdana"/>
          <w:sz w:val="20"/>
          <w:szCs w:val="20"/>
        </w:rPr>
        <w:t xml:space="preserve"> 11C 179/2003. Byt byl ze strany pana Baloga vyklizen v červnu 2004.</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lastRenderedPageBreak/>
        <w:t xml:space="preserve">Na dlužnou částku 16 024,50 Kč byl vystaven platební rozkaz 9 C 30/2004, který nabyl právní moci </w:t>
      </w:r>
      <w:proofErr w:type="gramStart"/>
      <w:r w:rsidRPr="007154F7">
        <w:rPr>
          <w:rFonts w:ascii="Verdana" w:hAnsi="Verdana"/>
          <w:sz w:val="20"/>
          <w:szCs w:val="20"/>
        </w:rPr>
        <w:t>26.2.2004</w:t>
      </w:r>
      <w:proofErr w:type="gramEnd"/>
      <w:r w:rsidRPr="007154F7">
        <w:rPr>
          <w:rFonts w:ascii="Verdana" w:hAnsi="Verdana"/>
          <w:sz w:val="20"/>
          <w:szCs w:val="20"/>
        </w:rPr>
        <w:t xml:space="preserve"> a platební rozkaz 9 C 218/2005, který nabyl právní moci 10.11.2005. Dlužná částka byla vymáhána srážkou z důchodu. ČSSZ bylo sděleno, že výkon rozhodnutí je neproveditelný, protože důchod povinného po odečtení základní částky nedosahuje takové výše, aby z něho mohly být srážky prováděny. Poplatek z prodlení a soudní náklady činí 181 294,50 Kč. Exekutorem bylo navrženo zastavení exekuce dle § 268 </w:t>
      </w:r>
      <w:proofErr w:type="gramStart"/>
      <w:r w:rsidRPr="007154F7">
        <w:rPr>
          <w:rFonts w:ascii="Verdana" w:hAnsi="Verdana"/>
          <w:sz w:val="20"/>
          <w:szCs w:val="20"/>
        </w:rPr>
        <w:t>odst.1 písm.</w:t>
      </w:r>
      <w:proofErr w:type="gramEnd"/>
      <w:r w:rsidRPr="007154F7">
        <w:rPr>
          <w:rFonts w:ascii="Verdana" w:hAnsi="Verdana"/>
          <w:sz w:val="20"/>
          <w:szCs w:val="20"/>
        </w:rPr>
        <w:t xml:space="preserve"> e) občanského trestního řádu - průběh výkonu rozhodnutí ukazuje, že výtěžek, kterého jím bude dosaženo, nepostačí ani ke krytí jeho nákladů. </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Exekutor prověřil veškeré dostupné evidence majetku, ale nebyl dohledán postižitelný majetek. Dle centrální evidence exekucí je proti dlužníku vedeno 9 neúspěšných exekucí a tím je vedení exekuce neúčelné a nehospodárné.</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Na základě výše uvedeného navrhuje odbor správy majetku pohledávku ve výši 197 319,00 Kč odepsat.</w:t>
      </w:r>
    </w:p>
    <w:p w:rsidR="004B6D91" w:rsidRPr="007154F7" w:rsidRDefault="004B6D91" w:rsidP="007154F7">
      <w:pPr>
        <w:pStyle w:val="Nadpis1"/>
        <w:keepLines w:val="0"/>
        <w:numPr>
          <w:ilvl w:val="0"/>
          <w:numId w:val="1"/>
        </w:numPr>
        <w:shd w:val="clear" w:color="auto" w:fill="EEECE1" w:themeFill="background2"/>
        <w:tabs>
          <w:tab w:val="left" w:pos="907"/>
        </w:tabs>
        <w:spacing w:before="0"/>
        <w:ind w:left="0" w:firstLine="0"/>
        <w:jc w:val="both"/>
        <w:rPr>
          <w:rFonts w:ascii="Verdana" w:hAnsi="Verdana"/>
          <w:color w:val="auto"/>
          <w:sz w:val="20"/>
          <w:szCs w:val="20"/>
        </w:rPr>
      </w:pPr>
      <w:r w:rsidRPr="007154F7">
        <w:rPr>
          <w:rFonts w:ascii="Verdana" w:hAnsi="Verdana"/>
          <w:color w:val="auto"/>
          <w:sz w:val="20"/>
          <w:szCs w:val="20"/>
        </w:rPr>
        <w:t xml:space="preserve">Odpis pohledávky ve výši 33 029,00 Kč – </w:t>
      </w:r>
      <w:proofErr w:type="spellStart"/>
      <w:r w:rsidRPr="007154F7">
        <w:rPr>
          <w:rFonts w:ascii="Verdana" w:hAnsi="Verdana"/>
          <w:color w:val="auto"/>
          <w:sz w:val="20"/>
          <w:szCs w:val="20"/>
        </w:rPr>
        <w:t>xx</w:t>
      </w:r>
      <w:proofErr w:type="spellEnd"/>
      <w:r w:rsidRPr="007154F7">
        <w:rPr>
          <w:rFonts w:ascii="Verdana" w:hAnsi="Verdana"/>
          <w:color w:val="auto"/>
          <w:sz w:val="20"/>
          <w:szCs w:val="20"/>
        </w:rPr>
        <w:t>, užívání bytu č. 1, Jana Zajíce 129, Kutná Hora</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Pohledávka ve výši 33 029,00 Kč se týká nedoplatku předpisů nájemného a služeb spojených s užíváním bytu č. 1 v objektu Jana Zajíce 129, Kutná Hora za rok 1999. Paní </w:t>
      </w:r>
      <w:proofErr w:type="spellStart"/>
      <w:r w:rsidRPr="007154F7">
        <w:rPr>
          <w:rFonts w:ascii="Verdana" w:hAnsi="Verdana"/>
          <w:sz w:val="20"/>
          <w:szCs w:val="20"/>
        </w:rPr>
        <w:t>xx</w:t>
      </w:r>
      <w:proofErr w:type="spellEnd"/>
      <w:r w:rsidRPr="007154F7">
        <w:rPr>
          <w:rFonts w:ascii="Verdana" w:hAnsi="Verdana"/>
          <w:sz w:val="20"/>
          <w:szCs w:val="20"/>
        </w:rPr>
        <w:t xml:space="preserve"> byt v roce 1999 vyklidila a předala zpět městu. Dlužná částka byla vymáhána dle rozsudku jménem republiky </w:t>
      </w:r>
      <w:proofErr w:type="gramStart"/>
      <w:r w:rsidRPr="007154F7">
        <w:rPr>
          <w:rFonts w:ascii="Verdana" w:hAnsi="Verdana"/>
          <w:sz w:val="20"/>
          <w:szCs w:val="20"/>
        </w:rPr>
        <w:t>č.j.</w:t>
      </w:r>
      <w:proofErr w:type="gramEnd"/>
      <w:r w:rsidRPr="007154F7">
        <w:rPr>
          <w:rFonts w:ascii="Verdana" w:hAnsi="Verdana"/>
          <w:sz w:val="20"/>
          <w:szCs w:val="20"/>
        </w:rPr>
        <w:t xml:space="preserve"> 12 C 161/2001, který nabyl právní moci 4.12.2003. Byl ustanoven opatrovník, protože soud marně pátral po pobytu žalované, paní </w:t>
      </w:r>
      <w:proofErr w:type="spellStart"/>
      <w:r w:rsidRPr="007154F7">
        <w:rPr>
          <w:rFonts w:ascii="Verdana" w:hAnsi="Verdana"/>
          <w:sz w:val="20"/>
          <w:szCs w:val="20"/>
        </w:rPr>
        <w:t>xx</w:t>
      </w:r>
      <w:proofErr w:type="spellEnd"/>
      <w:r w:rsidRPr="007154F7">
        <w:rPr>
          <w:rFonts w:ascii="Verdana" w:hAnsi="Verdana"/>
          <w:sz w:val="20"/>
          <w:szCs w:val="20"/>
        </w:rPr>
        <w:t xml:space="preserve">. Dlužná částka byla vymáhána exekučně dle EX 399/06 exekutorem </w:t>
      </w:r>
      <w:proofErr w:type="spellStart"/>
      <w:r w:rsidRPr="007154F7">
        <w:rPr>
          <w:rFonts w:ascii="Verdana" w:hAnsi="Verdana"/>
          <w:sz w:val="20"/>
          <w:szCs w:val="20"/>
        </w:rPr>
        <w:t>xx</w:t>
      </w:r>
      <w:proofErr w:type="spellEnd"/>
      <w:r w:rsidRPr="007154F7">
        <w:rPr>
          <w:rFonts w:ascii="Verdana" w:hAnsi="Verdana"/>
          <w:sz w:val="20"/>
          <w:szCs w:val="20"/>
        </w:rPr>
        <w:t xml:space="preserve">.. Dne 18.5.2016 bylo navrženo soudním exekutorem zastavení exekuce dle § 268 </w:t>
      </w:r>
      <w:proofErr w:type="gramStart"/>
      <w:r w:rsidRPr="007154F7">
        <w:rPr>
          <w:rFonts w:ascii="Verdana" w:hAnsi="Verdana"/>
          <w:sz w:val="20"/>
          <w:szCs w:val="20"/>
        </w:rPr>
        <w:t>odst.1 písm.</w:t>
      </w:r>
      <w:proofErr w:type="gramEnd"/>
      <w:r w:rsidRPr="007154F7">
        <w:rPr>
          <w:rFonts w:ascii="Verdana" w:hAnsi="Verdana"/>
          <w:sz w:val="20"/>
          <w:szCs w:val="20"/>
        </w:rPr>
        <w:t xml:space="preserve"> e) občanského trestního řádu na základě opakovaného a marného pátrání po majetku a pobytu  povinné s tím, že vedení exekuce je neúčelné a nehospodárné.</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Na základě výše uvedeného navrhuje odbor správy majetku pohledávku ve výši 33 029,00 Kč odepsat.</w:t>
      </w:r>
    </w:p>
    <w:p w:rsidR="004B6D91" w:rsidRPr="007154F7" w:rsidRDefault="004B6D91" w:rsidP="007154F7">
      <w:pPr>
        <w:pStyle w:val="Nadpis1"/>
        <w:keepLines w:val="0"/>
        <w:numPr>
          <w:ilvl w:val="0"/>
          <w:numId w:val="1"/>
        </w:numPr>
        <w:shd w:val="clear" w:color="auto" w:fill="EEECE1" w:themeFill="background2"/>
        <w:tabs>
          <w:tab w:val="left" w:pos="907"/>
        </w:tabs>
        <w:spacing w:before="0"/>
        <w:ind w:left="0" w:firstLine="0"/>
        <w:jc w:val="both"/>
        <w:rPr>
          <w:rFonts w:ascii="Verdana" w:hAnsi="Verdana"/>
          <w:color w:val="auto"/>
          <w:sz w:val="20"/>
          <w:szCs w:val="20"/>
        </w:rPr>
      </w:pPr>
      <w:r w:rsidRPr="007154F7">
        <w:rPr>
          <w:rFonts w:ascii="Verdana" w:hAnsi="Verdana"/>
          <w:color w:val="auto"/>
          <w:sz w:val="20"/>
          <w:szCs w:val="20"/>
        </w:rPr>
        <w:t xml:space="preserve">Odpis pohledávky ve výši 10 937,07 Kč – </w:t>
      </w:r>
      <w:proofErr w:type="spellStart"/>
      <w:r w:rsidRPr="007154F7">
        <w:rPr>
          <w:rFonts w:ascii="Verdana" w:hAnsi="Verdana"/>
          <w:color w:val="auto"/>
          <w:sz w:val="20"/>
          <w:szCs w:val="20"/>
        </w:rPr>
        <w:t>xx</w:t>
      </w:r>
      <w:proofErr w:type="spellEnd"/>
      <w:r w:rsidRPr="007154F7">
        <w:rPr>
          <w:rFonts w:ascii="Verdana" w:hAnsi="Verdana"/>
          <w:color w:val="auto"/>
          <w:sz w:val="20"/>
          <w:szCs w:val="20"/>
        </w:rPr>
        <w:t>, užívání nebytového prostoru Sedlecká 670, Kutná Hora</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Pohledávka ve výši 10 937,07 Kč se týká nedoplatku vyúčtování el. </w:t>
      </w:r>
      <w:proofErr w:type="gramStart"/>
      <w:r w:rsidRPr="007154F7">
        <w:rPr>
          <w:rFonts w:ascii="Verdana" w:hAnsi="Verdana"/>
          <w:sz w:val="20"/>
          <w:szCs w:val="20"/>
        </w:rPr>
        <w:t>energie</w:t>
      </w:r>
      <w:proofErr w:type="gramEnd"/>
      <w:r w:rsidRPr="007154F7">
        <w:rPr>
          <w:rFonts w:ascii="Verdana" w:hAnsi="Verdana"/>
          <w:sz w:val="20"/>
          <w:szCs w:val="20"/>
        </w:rPr>
        <w:t xml:space="preserve"> a plynu za užívání nebytového prostoru Sedlecká 670, Kutná Hora za rok 1998, který pan </w:t>
      </w:r>
      <w:proofErr w:type="spellStart"/>
      <w:r w:rsidRPr="007154F7">
        <w:rPr>
          <w:rFonts w:ascii="Verdana" w:hAnsi="Verdana"/>
          <w:sz w:val="20"/>
          <w:szCs w:val="20"/>
        </w:rPr>
        <w:t>xx</w:t>
      </w:r>
      <w:proofErr w:type="spellEnd"/>
      <w:r w:rsidRPr="007154F7">
        <w:rPr>
          <w:rFonts w:ascii="Verdana" w:hAnsi="Verdana"/>
          <w:sz w:val="20"/>
          <w:szCs w:val="20"/>
        </w:rPr>
        <w:t xml:space="preserve"> užíval na základě nájemní smlouvy. Za období leden – červenec 1998 nebyly  ze strany nájemce uhrazeny předpisy za služby (spotřebu plynu, el. </w:t>
      </w:r>
      <w:proofErr w:type="gramStart"/>
      <w:r w:rsidRPr="007154F7">
        <w:rPr>
          <w:rFonts w:ascii="Verdana" w:hAnsi="Verdana"/>
          <w:sz w:val="20"/>
          <w:szCs w:val="20"/>
        </w:rPr>
        <w:t>energie</w:t>
      </w:r>
      <w:proofErr w:type="gramEnd"/>
      <w:r w:rsidRPr="007154F7">
        <w:rPr>
          <w:rFonts w:ascii="Verdana" w:hAnsi="Verdana"/>
          <w:sz w:val="20"/>
          <w:szCs w:val="20"/>
        </w:rPr>
        <w:t xml:space="preserve">). Dne </w:t>
      </w:r>
      <w:proofErr w:type="gramStart"/>
      <w:r w:rsidRPr="007154F7">
        <w:rPr>
          <w:rFonts w:ascii="Verdana" w:hAnsi="Verdana"/>
          <w:sz w:val="20"/>
          <w:szCs w:val="20"/>
        </w:rPr>
        <w:t>12.5.1999</w:t>
      </w:r>
      <w:proofErr w:type="gramEnd"/>
      <w:r w:rsidRPr="007154F7">
        <w:rPr>
          <w:rFonts w:ascii="Verdana" w:hAnsi="Verdana"/>
          <w:sz w:val="20"/>
          <w:szCs w:val="20"/>
        </w:rPr>
        <w:t xml:space="preserve"> byl vystaven platební rozkaz 5C 72/99 na úhradu dlužné částky. Nedoplatek ve výši 10 937,07 byl vymáhán exekučně dle EX 406/06 exekutorem </w:t>
      </w:r>
      <w:proofErr w:type="spellStart"/>
      <w:r w:rsidRPr="007154F7">
        <w:rPr>
          <w:rFonts w:ascii="Verdana" w:hAnsi="Verdana"/>
          <w:sz w:val="20"/>
          <w:szCs w:val="20"/>
        </w:rPr>
        <w:t>xx</w:t>
      </w:r>
      <w:proofErr w:type="spellEnd"/>
      <w:r w:rsidRPr="007154F7">
        <w:rPr>
          <w:rFonts w:ascii="Verdana" w:hAnsi="Verdana"/>
          <w:sz w:val="20"/>
          <w:szCs w:val="20"/>
        </w:rPr>
        <w:t xml:space="preserve">. Dne 18.5.2016 bylo navrženo soudním exekutorem zastavení exekuce  dle § 268 </w:t>
      </w:r>
      <w:proofErr w:type="gramStart"/>
      <w:r w:rsidRPr="007154F7">
        <w:rPr>
          <w:rFonts w:ascii="Verdana" w:hAnsi="Verdana"/>
          <w:sz w:val="20"/>
          <w:szCs w:val="20"/>
        </w:rPr>
        <w:t>odst.1 písm.</w:t>
      </w:r>
      <w:proofErr w:type="gramEnd"/>
      <w:r w:rsidRPr="007154F7">
        <w:rPr>
          <w:rFonts w:ascii="Verdana" w:hAnsi="Verdana"/>
          <w:sz w:val="20"/>
          <w:szCs w:val="20"/>
        </w:rPr>
        <w:t xml:space="preserve"> e) občanského trestního řádu kdy průběh výkonu rozhodnutí ukazuje, že výtěžek, kterého jím bude dosaženo, nepostačí ani ke krytí jeho nákladů. Exekutor sděluje, že na základě opakovaného a marného pátrání po pobytu povinného a jeho majetku je vedení exekuce neúčelné a nehospodárné. </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Na základě výše uvedeného navrhuje odbor správy majetku pohledávku ve výši 10 937,07 Kč odepsat.</w:t>
      </w:r>
    </w:p>
    <w:p w:rsidR="004B6D91" w:rsidRPr="007154F7" w:rsidRDefault="004B6D91" w:rsidP="007154F7">
      <w:pPr>
        <w:pStyle w:val="Nadpis1"/>
        <w:keepLines w:val="0"/>
        <w:numPr>
          <w:ilvl w:val="0"/>
          <w:numId w:val="1"/>
        </w:numPr>
        <w:shd w:val="clear" w:color="auto" w:fill="EEECE1" w:themeFill="background2"/>
        <w:tabs>
          <w:tab w:val="left" w:pos="907"/>
        </w:tabs>
        <w:spacing w:before="0"/>
        <w:ind w:left="0" w:firstLine="0"/>
        <w:jc w:val="both"/>
        <w:rPr>
          <w:rFonts w:ascii="Verdana" w:hAnsi="Verdana"/>
          <w:color w:val="auto"/>
          <w:sz w:val="20"/>
          <w:szCs w:val="20"/>
        </w:rPr>
      </w:pPr>
      <w:r w:rsidRPr="007154F7">
        <w:rPr>
          <w:rFonts w:ascii="Verdana" w:hAnsi="Verdana"/>
          <w:color w:val="auto"/>
          <w:sz w:val="20"/>
          <w:szCs w:val="20"/>
        </w:rPr>
        <w:t xml:space="preserve">Odpis pohledávky ve výši 61 381,00 Kč – </w:t>
      </w:r>
      <w:proofErr w:type="spellStart"/>
      <w:r w:rsidRPr="007154F7">
        <w:rPr>
          <w:rFonts w:ascii="Verdana" w:hAnsi="Verdana"/>
          <w:color w:val="auto"/>
          <w:sz w:val="20"/>
          <w:szCs w:val="20"/>
        </w:rPr>
        <w:t>xx</w:t>
      </w:r>
      <w:proofErr w:type="spellEnd"/>
      <w:r w:rsidRPr="007154F7">
        <w:rPr>
          <w:rFonts w:ascii="Verdana" w:hAnsi="Verdana"/>
          <w:color w:val="auto"/>
          <w:sz w:val="20"/>
          <w:szCs w:val="20"/>
        </w:rPr>
        <w:t>, užívání bytu č. 4, Čáslavská 454, Kutná Hora</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Pohledávka ve výši 61 381,00 Kč se týká nedoplatku předpisů nájemného a služeb spojených s užíváním bytu č. 4 v objektu Čáslavská 454, Kutná Hora za roky 1999 - 2000. Dne </w:t>
      </w:r>
      <w:proofErr w:type="gramStart"/>
      <w:r w:rsidRPr="007154F7">
        <w:rPr>
          <w:rFonts w:ascii="Verdana" w:hAnsi="Verdana"/>
          <w:sz w:val="20"/>
          <w:szCs w:val="20"/>
        </w:rPr>
        <w:t>26.8.2000</w:t>
      </w:r>
      <w:proofErr w:type="gramEnd"/>
      <w:r w:rsidRPr="007154F7">
        <w:rPr>
          <w:rFonts w:ascii="Verdana" w:hAnsi="Verdana"/>
          <w:sz w:val="20"/>
          <w:szCs w:val="20"/>
        </w:rPr>
        <w:t xml:space="preserve"> nabyl právní moci rozsudek o přivolení k výpovědi z nájmu bytu z důvodu nehrazení nájemného. Na dlužnou částku ve výši 29 621,00 Kč byl vystaven platební rozkaz 3 C 256/98, který nabyl právní moci </w:t>
      </w:r>
      <w:proofErr w:type="gramStart"/>
      <w:r w:rsidRPr="007154F7">
        <w:rPr>
          <w:rFonts w:ascii="Verdana" w:hAnsi="Verdana"/>
          <w:sz w:val="20"/>
          <w:szCs w:val="20"/>
        </w:rPr>
        <w:t>25.11.1998</w:t>
      </w:r>
      <w:proofErr w:type="gramEnd"/>
      <w:r w:rsidRPr="007154F7">
        <w:rPr>
          <w:rFonts w:ascii="Verdana" w:hAnsi="Verdana"/>
          <w:sz w:val="20"/>
          <w:szCs w:val="20"/>
        </w:rPr>
        <w:t xml:space="preserve"> a platební rozkaz 7C 45/2000, který nabyl právní moci 18.4.2000. Dlužná částka byla vymáhána výkonem rozhodnutí exekutorem </w:t>
      </w:r>
      <w:proofErr w:type="spellStart"/>
      <w:r w:rsidRPr="007154F7">
        <w:rPr>
          <w:rFonts w:ascii="Verdana" w:hAnsi="Verdana"/>
          <w:sz w:val="20"/>
          <w:szCs w:val="20"/>
        </w:rPr>
        <w:t>xx</w:t>
      </w:r>
      <w:proofErr w:type="spellEnd"/>
      <w:r w:rsidRPr="007154F7">
        <w:rPr>
          <w:rFonts w:ascii="Verdana" w:hAnsi="Verdana"/>
          <w:sz w:val="20"/>
          <w:szCs w:val="20"/>
        </w:rPr>
        <w:t xml:space="preserve">. Poplatek z prodlení činí 31 760,00 Kč. Dne </w:t>
      </w:r>
      <w:proofErr w:type="gramStart"/>
      <w:r w:rsidRPr="007154F7">
        <w:rPr>
          <w:rFonts w:ascii="Verdana" w:hAnsi="Verdana"/>
          <w:sz w:val="20"/>
          <w:szCs w:val="20"/>
        </w:rPr>
        <w:t>17.12.2019</w:t>
      </w:r>
      <w:proofErr w:type="gramEnd"/>
      <w:r w:rsidRPr="007154F7">
        <w:rPr>
          <w:rFonts w:ascii="Verdana" w:hAnsi="Verdana"/>
          <w:sz w:val="20"/>
          <w:szCs w:val="20"/>
        </w:rPr>
        <w:t xml:space="preserve"> bylo exekutorem navrženo zastavení exekuce dle § 268 odst. 1 písm. e) občanského trestního řádu - průběh výkonu </w:t>
      </w:r>
      <w:r w:rsidRPr="007154F7">
        <w:rPr>
          <w:rFonts w:ascii="Verdana" w:hAnsi="Verdana"/>
          <w:sz w:val="20"/>
          <w:szCs w:val="20"/>
        </w:rPr>
        <w:lastRenderedPageBreak/>
        <w:t xml:space="preserve">rozhodnutí ukazuje, že výtěžek, kterého jím bude dosaženo, nepostačí ani ke krytí jeho nákladů. </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Exekutor prověřil veškeré dostupné evidence majetku, ale nebyl dohledán postižitelný majetek. Dle centrální evidence exekucí je proti dlužníku vedeno 15 neúspěšných exekucí, čímž je vedení exekuce neúčelné a nehospodárné.</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Na základě výše uvedeného navrhuje odbor správy majetku pohledávku ve výši 61 381,00 Kč odepsat.</w:t>
      </w:r>
    </w:p>
    <w:p w:rsidR="004B6D91" w:rsidRPr="007154F7" w:rsidRDefault="004B6D91" w:rsidP="007154F7">
      <w:pPr>
        <w:pStyle w:val="Nadpis1"/>
        <w:keepLines w:val="0"/>
        <w:numPr>
          <w:ilvl w:val="0"/>
          <w:numId w:val="1"/>
        </w:numPr>
        <w:shd w:val="clear" w:color="auto" w:fill="EEECE1" w:themeFill="background2"/>
        <w:tabs>
          <w:tab w:val="left" w:pos="907"/>
        </w:tabs>
        <w:spacing w:before="0"/>
        <w:ind w:left="0" w:firstLine="0"/>
        <w:jc w:val="both"/>
        <w:rPr>
          <w:rFonts w:ascii="Verdana" w:hAnsi="Verdana"/>
          <w:color w:val="auto"/>
          <w:sz w:val="20"/>
          <w:szCs w:val="20"/>
        </w:rPr>
      </w:pPr>
      <w:r w:rsidRPr="007154F7">
        <w:rPr>
          <w:rFonts w:ascii="Verdana" w:hAnsi="Verdana"/>
          <w:color w:val="auto"/>
          <w:sz w:val="20"/>
          <w:szCs w:val="20"/>
        </w:rPr>
        <w:t xml:space="preserve">Odpis pohledávky ve výši 19 171,00 Kč – </w:t>
      </w:r>
      <w:proofErr w:type="spellStart"/>
      <w:r w:rsidRPr="007154F7">
        <w:rPr>
          <w:rFonts w:ascii="Verdana" w:hAnsi="Verdana"/>
          <w:color w:val="auto"/>
          <w:sz w:val="20"/>
          <w:szCs w:val="20"/>
        </w:rPr>
        <w:t>xx</w:t>
      </w:r>
      <w:proofErr w:type="spellEnd"/>
      <w:r w:rsidRPr="007154F7">
        <w:rPr>
          <w:rFonts w:ascii="Verdana" w:hAnsi="Verdana"/>
          <w:color w:val="auto"/>
          <w:sz w:val="20"/>
          <w:szCs w:val="20"/>
        </w:rPr>
        <w:t>, užívání nebytového prostoru Kremnická 909, Kutná Hora</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Pohledávka ve výši 19 171,00 Kč se týká nedoplatku přeúčtování spotřeby vody za užívání nebytového prostoru Kremnická 909, Kutná Hora za rok 1998, který </w:t>
      </w:r>
      <w:proofErr w:type="spellStart"/>
      <w:r w:rsidRPr="007154F7">
        <w:rPr>
          <w:rFonts w:ascii="Verdana" w:hAnsi="Verdana"/>
          <w:sz w:val="20"/>
          <w:szCs w:val="20"/>
        </w:rPr>
        <w:t>xx</w:t>
      </w:r>
      <w:proofErr w:type="spellEnd"/>
      <w:r w:rsidRPr="007154F7">
        <w:rPr>
          <w:rFonts w:ascii="Verdana" w:hAnsi="Verdana"/>
          <w:sz w:val="20"/>
          <w:szCs w:val="20"/>
        </w:rPr>
        <w:t xml:space="preserve">. užívala na základě nájemní smlouvy. Nedoplatek byl vymáhán soudně rozsudkem republiky </w:t>
      </w:r>
      <w:proofErr w:type="gramStart"/>
      <w:r w:rsidRPr="007154F7">
        <w:rPr>
          <w:rFonts w:ascii="Verdana" w:hAnsi="Verdana"/>
          <w:sz w:val="20"/>
          <w:szCs w:val="20"/>
        </w:rPr>
        <w:t>č.j.</w:t>
      </w:r>
      <w:proofErr w:type="gramEnd"/>
      <w:r w:rsidRPr="007154F7">
        <w:rPr>
          <w:rFonts w:ascii="Verdana" w:hAnsi="Verdana"/>
          <w:sz w:val="20"/>
          <w:szCs w:val="20"/>
        </w:rPr>
        <w:t xml:space="preserve"> 18 C 147/2000, který nabyl právní moci 20.7.2000 a pohledávka byla předána k vymáhání exekutorovi </w:t>
      </w:r>
      <w:proofErr w:type="spellStart"/>
      <w:r w:rsidRPr="007154F7">
        <w:rPr>
          <w:rFonts w:ascii="Verdana" w:hAnsi="Verdana"/>
          <w:sz w:val="20"/>
          <w:szCs w:val="20"/>
        </w:rPr>
        <w:t>xx</w:t>
      </w:r>
      <w:proofErr w:type="spellEnd"/>
      <w:r w:rsidRPr="007154F7">
        <w:rPr>
          <w:rFonts w:ascii="Verdana" w:hAnsi="Verdana"/>
          <w:sz w:val="20"/>
          <w:szCs w:val="20"/>
        </w:rPr>
        <w:t xml:space="preserve">. Dne 17.12.2019 bylo exekutorem navrženo zastavení exekuce dle § 268 </w:t>
      </w:r>
      <w:proofErr w:type="gramStart"/>
      <w:r w:rsidRPr="007154F7">
        <w:rPr>
          <w:rFonts w:ascii="Verdana" w:hAnsi="Verdana"/>
          <w:sz w:val="20"/>
          <w:szCs w:val="20"/>
        </w:rPr>
        <w:t>odst.1 písm.</w:t>
      </w:r>
      <w:proofErr w:type="gramEnd"/>
      <w:r w:rsidRPr="007154F7">
        <w:rPr>
          <w:rFonts w:ascii="Verdana" w:hAnsi="Verdana"/>
          <w:sz w:val="20"/>
          <w:szCs w:val="20"/>
        </w:rPr>
        <w:t xml:space="preserve"> e) občanského trestního řádu - průběh výkonu rozhodnutí ukazuje, že výtěžek, kterého jím bude dosaženo, nepostačí ani ke krytí jeho nákladů. Exekutor prověřil veškeré dostupné evidence majetku, ale nebyl dohledán postižitelný majetek. Dle centrální evidence exekucí je proti dlužníku vedeno 12 neúspěšných exekucí, čímž je vedení exekuce neúčelné a nehospodárné.</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Na základě výše uvedeného navrhuje odbor správy majetku pohledávku ve výši 19 171,00 Kč odepsat.</w:t>
      </w:r>
    </w:p>
    <w:p w:rsidR="004B6D91" w:rsidRPr="007154F7" w:rsidRDefault="004B6D91" w:rsidP="007154F7">
      <w:pPr>
        <w:pStyle w:val="Nadpis1"/>
        <w:keepLines w:val="0"/>
        <w:numPr>
          <w:ilvl w:val="0"/>
          <w:numId w:val="1"/>
        </w:numPr>
        <w:shd w:val="clear" w:color="auto" w:fill="EEECE1" w:themeFill="background2"/>
        <w:tabs>
          <w:tab w:val="left" w:pos="907"/>
        </w:tabs>
        <w:spacing w:before="0"/>
        <w:ind w:left="0" w:firstLine="0"/>
        <w:jc w:val="both"/>
        <w:rPr>
          <w:rFonts w:ascii="Verdana" w:hAnsi="Verdana"/>
          <w:color w:val="auto"/>
          <w:sz w:val="20"/>
          <w:szCs w:val="20"/>
        </w:rPr>
      </w:pPr>
      <w:r w:rsidRPr="007154F7">
        <w:rPr>
          <w:rFonts w:ascii="Verdana" w:hAnsi="Verdana"/>
          <w:color w:val="auto"/>
          <w:sz w:val="20"/>
          <w:szCs w:val="20"/>
        </w:rPr>
        <w:t xml:space="preserve">Odpis pohledávky ve výši 223 998,70 Kč – </w:t>
      </w:r>
      <w:proofErr w:type="spellStart"/>
      <w:r w:rsidRPr="007154F7">
        <w:rPr>
          <w:rFonts w:ascii="Verdana" w:hAnsi="Verdana"/>
          <w:color w:val="auto"/>
          <w:sz w:val="20"/>
          <w:szCs w:val="20"/>
        </w:rPr>
        <w:t>xx</w:t>
      </w:r>
      <w:proofErr w:type="spellEnd"/>
      <w:r w:rsidRPr="007154F7">
        <w:rPr>
          <w:rFonts w:ascii="Verdana" w:hAnsi="Verdana"/>
          <w:color w:val="auto"/>
          <w:sz w:val="20"/>
          <w:szCs w:val="20"/>
        </w:rPr>
        <w:t>, užívání nebytového prostoru Trebišovská 611, Kutná Hora</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Pohledávka ve výši 223 998,70 Kč se týká nedoplatku předpisů nájemného a služeb (vyúčtování vody, tepla a plynu) spojených s užíváním nebytového prostoru Trebišovská 611, Kutná Hora za roky 1998 – 2000, který měla paní </w:t>
      </w:r>
      <w:proofErr w:type="spellStart"/>
      <w:r w:rsidRPr="007154F7">
        <w:rPr>
          <w:rFonts w:ascii="Verdana" w:hAnsi="Verdana"/>
          <w:sz w:val="20"/>
          <w:szCs w:val="20"/>
        </w:rPr>
        <w:t>xx</w:t>
      </w:r>
      <w:proofErr w:type="spellEnd"/>
      <w:r w:rsidRPr="007154F7">
        <w:rPr>
          <w:rFonts w:ascii="Verdana" w:hAnsi="Verdana"/>
          <w:sz w:val="20"/>
          <w:szCs w:val="20"/>
        </w:rPr>
        <w:t xml:space="preserve"> pronajatý. </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Na dlužnou částku byl vystaven platební rozkaz Ro 404/2002, který nabyl právní moci </w:t>
      </w:r>
      <w:proofErr w:type="gramStart"/>
      <w:r w:rsidRPr="007154F7">
        <w:rPr>
          <w:rFonts w:ascii="Verdana" w:hAnsi="Verdana"/>
          <w:sz w:val="20"/>
          <w:szCs w:val="20"/>
        </w:rPr>
        <w:t>26.2.2003</w:t>
      </w:r>
      <w:proofErr w:type="gramEnd"/>
      <w:r w:rsidRPr="007154F7">
        <w:rPr>
          <w:rFonts w:ascii="Verdana" w:hAnsi="Verdana"/>
          <w:sz w:val="20"/>
          <w:szCs w:val="20"/>
        </w:rPr>
        <w:t xml:space="preserve">. Nedoplatek ve výši 223 998,70 Kč (včetně soudních nákladů a sankce z prodlení) byl vymáhán exekučně dle 7 </w:t>
      </w:r>
      <w:proofErr w:type="spellStart"/>
      <w:r w:rsidRPr="007154F7">
        <w:rPr>
          <w:rFonts w:ascii="Verdana" w:hAnsi="Verdana"/>
          <w:sz w:val="20"/>
          <w:szCs w:val="20"/>
        </w:rPr>
        <w:t>Nc</w:t>
      </w:r>
      <w:proofErr w:type="spellEnd"/>
      <w:r w:rsidRPr="007154F7">
        <w:rPr>
          <w:rFonts w:ascii="Verdana" w:hAnsi="Verdana"/>
          <w:sz w:val="20"/>
          <w:szCs w:val="20"/>
        </w:rPr>
        <w:t xml:space="preserve"> 2525/2006 exekutorem </w:t>
      </w:r>
      <w:proofErr w:type="spellStart"/>
      <w:r w:rsidRPr="007154F7">
        <w:rPr>
          <w:rFonts w:ascii="Verdana" w:hAnsi="Verdana"/>
          <w:sz w:val="20"/>
          <w:szCs w:val="20"/>
        </w:rPr>
        <w:t>xx</w:t>
      </w:r>
      <w:proofErr w:type="spellEnd"/>
      <w:r w:rsidRPr="007154F7">
        <w:rPr>
          <w:rFonts w:ascii="Verdana" w:hAnsi="Verdana"/>
          <w:sz w:val="20"/>
          <w:szCs w:val="20"/>
        </w:rPr>
        <w:t xml:space="preserve">. Dne 17.12.2019 bylo navrženo soudním exekutorem zastavení exekuce  dle § 268 </w:t>
      </w:r>
      <w:proofErr w:type="gramStart"/>
      <w:r w:rsidRPr="007154F7">
        <w:rPr>
          <w:rFonts w:ascii="Verdana" w:hAnsi="Verdana"/>
          <w:sz w:val="20"/>
          <w:szCs w:val="20"/>
        </w:rPr>
        <w:t>odst.1 písm.</w:t>
      </w:r>
      <w:proofErr w:type="gramEnd"/>
      <w:r w:rsidRPr="007154F7">
        <w:rPr>
          <w:rFonts w:ascii="Verdana" w:hAnsi="Verdana"/>
          <w:sz w:val="20"/>
          <w:szCs w:val="20"/>
        </w:rPr>
        <w:t xml:space="preserve"> e) občanského trestního řádu, kdy průběh výkonu rozhodnutí ukazuje, že výtěžek, kterého jím bude dosaženo, nepostačí ani ke krytí jeho nákladů. Exekutor sděluje, že na základě opakovaného a marného pátrání po pobytu povinné a jejího majetku je vedení exekuce neúčelné a nehospodárné. Proti povinné je vedeno dalších 18 exekucí.</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Na základě výše uvedeného navrhuje odbor správy majetku pohledávku ve výši 223 998,70 Kč odepsat.</w:t>
      </w:r>
    </w:p>
    <w:p w:rsidR="004B6D91" w:rsidRPr="007154F7" w:rsidRDefault="004B6D91" w:rsidP="007154F7">
      <w:pPr>
        <w:pStyle w:val="Nadpis1"/>
        <w:keepLines w:val="0"/>
        <w:numPr>
          <w:ilvl w:val="0"/>
          <w:numId w:val="1"/>
        </w:numPr>
        <w:shd w:val="clear" w:color="auto" w:fill="EEECE1" w:themeFill="background2"/>
        <w:tabs>
          <w:tab w:val="left" w:pos="907"/>
        </w:tabs>
        <w:spacing w:before="0"/>
        <w:ind w:left="0" w:firstLine="0"/>
        <w:jc w:val="both"/>
        <w:rPr>
          <w:rFonts w:ascii="Verdana" w:hAnsi="Verdana"/>
          <w:color w:val="auto"/>
          <w:sz w:val="20"/>
          <w:szCs w:val="20"/>
        </w:rPr>
      </w:pPr>
      <w:r w:rsidRPr="007154F7">
        <w:rPr>
          <w:rFonts w:ascii="Verdana" w:hAnsi="Verdana"/>
          <w:color w:val="auto"/>
          <w:sz w:val="20"/>
          <w:szCs w:val="20"/>
        </w:rPr>
        <w:t xml:space="preserve">Odpis pohledávky ve výši 30 727,900 Kč – </w:t>
      </w:r>
      <w:proofErr w:type="spellStart"/>
      <w:r w:rsidRPr="007154F7">
        <w:rPr>
          <w:rFonts w:ascii="Verdana" w:hAnsi="Verdana"/>
          <w:color w:val="auto"/>
          <w:sz w:val="20"/>
          <w:szCs w:val="20"/>
        </w:rPr>
        <w:t>xx</w:t>
      </w:r>
      <w:proofErr w:type="spellEnd"/>
      <w:r w:rsidRPr="007154F7">
        <w:rPr>
          <w:rFonts w:ascii="Verdana" w:hAnsi="Verdana"/>
          <w:color w:val="auto"/>
          <w:sz w:val="20"/>
          <w:szCs w:val="20"/>
        </w:rPr>
        <w:t>, užívání ubytovny Vítězná 443, Kutná Hora</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Pohledávka ve výši 30 727,90 Kč se týká nedoplatku předpisů vyúčtování služeb spojených s užíváním ubytovací jednotky č. 142 v objektu ubytovny Vítězná 443, Kutná Hora za roky 2000 - 2001. Na dlužnou částku  byl vystaven platební rozkaz Ro 175/2001, který nabyl právní moci </w:t>
      </w:r>
      <w:proofErr w:type="gramStart"/>
      <w:r w:rsidRPr="007154F7">
        <w:rPr>
          <w:rFonts w:ascii="Verdana" w:hAnsi="Verdana"/>
          <w:sz w:val="20"/>
          <w:szCs w:val="20"/>
        </w:rPr>
        <w:t>7.11.2001</w:t>
      </w:r>
      <w:proofErr w:type="gramEnd"/>
      <w:r w:rsidRPr="007154F7">
        <w:rPr>
          <w:rFonts w:ascii="Verdana" w:hAnsi="Verdana"/>
          <w:sz w:val="20"/>
          <w:szCs w:val="20"/>
        </w:rPr>
        <w:t xml:space="preserve"> a platební rozkaz Ro 118/2002, který nabyl právní moci 11.7.2002. Dlužná částka byla vymáhána exekučně dle 4 </w:t>
      </w:r>
      <w:proofErr w:type="spellStart"/>
      <w:r w:rsidRPr="007154F7">
        <w:rPr>
          <w:rFonts w:ascii="Verdana" w:hAnsi="Verdana"/>
          <w:sz w:val="20"/>
          <w:szCs w:val="20"/>
        </w:rPr>
        <w:t>Nc</w:t>
      </w:r>
      <w:proofErr w:type="spellEnd"/>
      <w:r w:rsidRPr="007154F7">
        <w:rPr>
          <w:rFonts w:ascii="Verdana" w:hAnsi="Verdana"/>
          <w:sz w:val="20"/>
          <w:szCs w:val="20"/>
        </w:rPr>
        <w:t xml:space="preserve"> 2516/2006 exekutorem </w:t>
      </w:r>
      <w:proofErr w:type="spellStart"/>
      <w:r w:rsidRPr="007154F7">
        <w:rPr>
          <w:rFonts w:ascii="Verdana" w:hAnsi="Verdana"/>
          <w:sz w:val="20"/>
          <w:szCs w:val="20"/>
        </w:rPr>
        <w:t>xx</w:t>
      </w:r>
      <w:proofErr w:type="spellEnd"/>
      <w:r w:rsidRPr="007154F7">
        <w:rPr>
          <w:rFonts w:ascii="Verdana" w:hAnsi="Verdana"/>
          <w:sz w:val="20"/>
          <w:szCs w:val="20"/>
        </w:rPr>
        <w:t xml:space="preserve">. Dne </w:t>
      </w:r>
      <w:proofErr w:type="gramStart"/>
      <w:r w:rsidRPr="007154F7">
        <w:rPr>
          <w:rFonts w:ascii="Verdana" w:hAnsi="Verdana"/>
          <w:sz w:val="20"/>
          <w:szCs w:val="20"/>
        </w:rPr>
        <w:t>17.12.2019</w:t>
      </w:r>
      <w:proofErr w:type="gramEnd"/>
      <w:r w:rsidRPr="007154F7">
        <w:rPr>
          <w:rFonts w:ascii="Verdana" w:hAnsi="Verdana"/>
          <w:sz w:val="20"/>
          <w:szCs w:val="20"/>
        </w:rPr>
        <w:t xml:space="preserve"> bylo exekutorem navrženo zastavení exekuce dle § 268 odst. 1 písm. e) občanského trestního řádu - průběh výkonu rozhodnutí ukazuje, že výtěžek, kterého jím bude dosaženo, nepostačí ani ke krytí jeho nákladů. Exekutor prověřil veškeré dostupné evidence majetku, ale nebyl dohledán postižitelný majetek. Dle centrální evidence exekucí je proti dlužníku vedeno 20 neúspěšných exekucí, čímž je vedení exekuce neúčelné a nehospodárné.</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lastRenderedPageBreak/>
        <w:t>Na základě výše uvedeného navrhuje odbor správy majetku pohledávku ve výši 30 727,90 Kč odepsat.</w:t>
      </w:r>
    </w:p>
    <w:p w:rsidR="004B6D91" w:rsidRPr="007154F7" w:rsidRDefault="004B6D91" w:rsidP="007154F7">
      <w:pPr>
        <w:pStyle w:val="Nadpis1"/>
        <w:keepLines w:val="0"/>
        <w:numPr>
          <w:ilvl w:val="0"/>
          <w:numId w:val="1"/>
        </w:numPr>
        <w:shd w:val="clear" w:color="auto" w:fill="EEECE1" w:themeFill="background2"/>
        <w:tabs>
          <w:tab w:val="left" w:pos="907"/>
        </w:tabs>
        <w:spacing w:before="0"/>
        <w:ind w:left="0" w:firstLine="0"/>
        <w:jc w:val="both"/>
        <w:rPr>
          <w:rFonts w:ascii="Verdana" w:hAnsi="Verdana"/>
          <w:color w:val="auto"/>
          <w:sz w:val="20"/>
          <w:szCs w:val="20"/>
        </w:rPr>
      </w:pPr>
      <w:r w:rsidRPr="007154F7">
        <w:rPr>
          <w:rFonts w:ascii="Verdana" w:hAnsi="Verdana"/>
          <w:color w:val="auto"/>
          <w:sz w:val="20"/>
          <w:szCs w:val="20"/>
        </w:rPr>
        <w:t xml:space="preserve">Odpis pohledávky ve výši 47 361,00 Kč – </w:t>
      </w:r>
      <w:proofErr w:type="spellStart"/>
      <w:r w:rsidRPr="007154F7">
        <w:rPr>
          <w:rFonts w:ascii="Verdana" w:hAnsi="Verdana"/>
          <w:color w:val="auto"/>
          <w:sz w:val="20"/>
          <w:szCs w:val="20"/>
        </w:rPr>
        <w:t>xx</w:t>
      </w:r>
      <w:proofErr w:type="spellEnd"/>
      <w:r w:rsidRPr="007154F7">
        <w:rPr>
          <w:rFonts w:ascii="Verdana" w:hAnsi="Verdana"/>
          <w:color w:val="auto"/>
          <w:sz w:val="20"/>
          <w:szCs w:val="20"/>
        </w:rPr>
        <w:t>, užívání bytu č. 2, Čáslavská 453, Kutná Hora</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Pohledávka ve výši 47 361,00 Kč se týká nedoplatku předpisů nájemného a služeb spojených s užíváním bytu č. 2 v objektu Čáslavská 453, Kutná Hora za roky 1997 - 1999. Na dlužnou částku ve výši 47 361,00 Kč byl vystaven platební rozkaz 10 C 145/2000, který nabyl právní moci </w:t>
      </w:r>
      <w:proofErr w:type="gramStart"/>
      <w:r w:rsidRPr="007154F7">
        <w:rPr>
          <w:rFonts w:ascii="Verdana" w:hAnsi="Verdana"/>
          <w:sz w:val="20"/>
          <w:szCs w:val="20"/>
        </w:rPr>
        <w:t>17.11.2000</w:t>
      </w:r>
      <w:proofErr w:type="gramEnd"/>
      <w:r w:rsidRPr="007154F7">
        <w:rPr>
          <w:rFonts w:ascii="Verdana" w:hAnsi="Verdana"/>
          <w:sz w:val="20"/>
          <w:szCs w:val="20"/>
        </w:rPr>
        <w:t xml:space="preserve">. Dlužná částka byla vymáhána exekučně dle 8 </w:t>
      </w:r>
      <w:proofErr w:type="spellStart"/>
      <w:r w:rsidRPr="007154F7">
        <w:rPr>
          <w:rFonts w:ascii="Verdana" w:hAnsi="Verdana"/>
          <w:sz w:val="20"/>
          <w:szCs w:val="20"/>
        </w:rPr>
        <w:t>Nc</w:t>
      </w:r>
      <w:proofErr w:type="spellEnd"/>
      <w:r w:rsidRPr="007154F7">
        <w:rPr>
          <w:rFonts w:ascii="Verdana" w:hAnsi="Verdana"/>
          <w:sz w:val="20"/>
          <w:szCs w:val="20"/>
        </w:rPr>
        <w:t xml:space="preserve"> 2548/2006 exekutorem </w:t>
      </w:r>
      <w:proofErr w:type="spellStart"/>
      <w:r w:rsidRPr="007154F7">
        <w:rPr>
          <w:rFonts w:ascii="Verdana" w:hAnsi="Verdana"/>
          <w:sz w:val="20"/>
          <w:szCs w:val="20"/>
        </w:rPr>
        <w:t>xx</w:t>
      </w:r>
      <w:proofErr w:type="spellEnd"/>
      <w:r w:rsidRPr="007154F7">
        <w:rPr>
          <w:rFonts w:ascii="Verdana" w:hAnsi="Verdana"/>
          <w:sz w:val="20"/>
          <w:szCs w:val="20"/>
        </w:rPr>
        <w:t xml:space="preserve">. Dne </w:t>
      </w:r>
      <w:proofErr w:type="gramStart"/>
      <w:r w:rsidRPr="007154F7">
        <w:rPr>
          <w:rFonts w:ascii="Verdana" w:hAnsi="Verdana"/>
          <w:sz w:val="20"/>
          <w:szCs w:val="20"/>
        </w:rPr>
        <w:t>16.12.2019</w:t>
      </w:r>
      <w:proofErr w:type="gramEnd"/>
      <w:r w:rsidRPr="007154F7">
        <w:rPr>
          <w:rFonts w:ascii="Verdana" w:hAnsi="Verdana"/>
          <w:sz w:val="20"/>
          <w:szCs w:val="20"/>
        </w:rPr>
        <w:t xml:space="preserve"> bylo exekutorem navrženo zastavení exekuce dle § 268 odst. 1 písm. e) občanského trestního řádu - průběh výkonu rozhodnutí ukazuje, že výtěžek, kterého jím bude dosaženo, nepostačí ani ke krytí jeho nákladů. Exekutor prověřil veškeré dostupné evidence majetku, ale nebyl dohledán postižitelný majetek. Dle centrální evidence exekucí je proti dlužníku vedeno 12 neúspěšných exekucí, čímž je vedení exekuce neúčelné a nehospodárné.</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Na základě výše uvedeného navrhuje odbor správy majetku pohledávku ve výši 47 361,00 Kč odepsat.</w:t>
      </w:r>
    </w:p>
    <w:p w:rsidR="004B6D91" w:rsidRPr="007154F7" w:rsidRDefault="004B6D91" w:rsidP="007154F7">
      <w:pPr>
        <w:pStyle w:val="Nadpis1"/>
        <w:keepLines w:val="0"/>
        <w:numPr>
          <w:ilvl w:val="0"/>
          <w:numId w:val="1"/>
        </w:numPr>
        <w:shd w:val="clear" w:color="auto" w:fill="EEECE1" w:themeFill="background2"/>
        <w:tabs>
          <w:tab w:val="left" w:pos="907"/>
        </w:tabs>
        <w:spacing w:before="0"/>
        <w:ind w:left="0" w:firstLine="0"/>
        <w:jc w:val="both"/>
        <w:rPr>
          <w:rFonts w:ascii="Verdana" w:hAnsi="Verdana"/>
          <w:color w:val="auto"/>
          <w:sz w:val="20"/>
          <w:szCs w:val="20"/>
        </w:rPr>
      </w:pPr>
      <w:r w:rsidRPr="007154F7">
        <w:rPr>
          <w:rFonts w:ascii="Verdana" w:hAnsi="Verdana"/>
          <w:color w:val="auto"/>
          <w:sz w:val="20"/>
          <w:szCs w:val="20"/>
        </w:rPr>
        <w:t xml:space="preserve">Odpis pohledávky ve výši 19 759,00 Kč – </w:t>
      </w:r>
      <w:proofErr w:type="spellStart"/>
      <w:r w:rsidRPr="007154F7">
        <w:rPr>
          <w:rFonts w:ascii="Verdana" w:hAnsi="Verdana"/>
          <w:color w:val="auto"/>
          <w:sz w:val="20"/>
          <w:szCs w:val="20"/>
        </w:rPr>
        <w:t>xx</w:t>
      </w:r>
      <w:proofErr w:type="spellEnd"/>
      <w:r w:rsidRPr="007154F7">
        <w:rPr>
          <w:rFonts w:ascii="Verdana" w:hAnsi="Verdana"/>
          <w:color w:val="auto"/>
          <w:sz w:val="20"/>
          <w:szCs w:val="20"/>
        </w:rPr>
        <w:t>, užívání bytu č. 3, Masarykova302, Kutná Hora</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Pohledávka ve výši 19 759,00 Kč se týká nedoplatku předpisů vyúčtování služeb spojených s užíváním bytu č. 3 v objektu Masarykova 302, Kutná Hora za roky 1997 - 2000. </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Na dlužnou částku byl vystaven platební rozkaz Ro 1/2002, který nabyl právní moci </w:t>
      </w:r>
      <w:proofErr w:type="gramStart"/>
      <w:r w:rsidRPr="007154F7">
        <w:rPr>
          <w:rFonts w:ascii="Verdana" w:hAnsi="Verdana"/>
          <w:sz w:val="20"/>
          <w:szCs w:val="20"/>
        </w:rPr>
        <w:t>26.6.2002</w:t>
      </w:r>
      <w:proofErr w:type="gramEnd"/>
      <w:r w:rsidRPr="007154F7">
        <w:rPr>
          <w:rFonts w:ascii="Verdana" w:hAnsi="Verdana"/>
          <w:sz w:val="20"/>
          <w:szCs w:val="20"/>
        </w:rPr>
        <w:t xml:space="preserve">. Dlužná částka byla předána k vymáhání exekutorovi. Soudní náklady činily 7 012,00 Kč. Dne 16.12.2019 bylo navrženo zastavení exekuce dle § 268 </w:t>
      </w:r>
      <w:proofErr w:type="gramStart"/>
      <w:r w:rsidRPr="007154F7">
        <w:rPr>
          <w:rFonts w:ascii="Verdana" w:hAnsi="Verdana"/>
          <w:sz w:val="20"/>
          <w:szCs w:val="20"/>
        </w:rPr>
        <w:t>odst.1 písm.</w:t>
      </w:r>
      <w:proofErr w:type="gramEnd"/>
      <w:r w:rsidRPr="007154F7">
        <w:rPr>
          <w:rFonts w:ascii="Verdana" w:hAnsi="Verdana"/>
          <w:sz w:val="20"/>
          <w:szCs w:val="20"/>
        </w:rPr>
        <w:t xml:space="preserve"> e) občanského trestního řádu - průběh výkonu rozhodnutí ukazuje, že výtěžek, kterého jím bude dosaženo, nepostačí ani ke krytí jeho nákladů. Exekutor prověřil veškeré dostupné evidence majetku, ale nebyl dohledán postižitelný majetek. Dle centrální evidence exekucí je proti dlužníku vedeno 7 neúspěšných exekucí, čímž je vedení exekuce neúčelné a nehospodárné.</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Na základě výše uvedeného navrhuje odbor správy majetku pohledávku ve výši 19 759,00 Kč odepsat.</w:t>
      </w:r>
    </w:p>
    <w:p w:rsidR="004B6D91" w:rsidRPr="007154F7" w:rsidRDefault="004B6D91" w:rsidP="007154F7">
      <w:pPr>
        <w:pStyle w:val="Nadpis1"/>
        <w:keepLines w:val="0"/>
        <w:numPr>
          <w:ilvl w:val="0"/>
          <w:numId w:val="1"/>
        </w:numPr>
        <w:shd w:val="clear" w:color="auto" w:fill="EEECE1" w:themeFill="background2"/>
        <w:tabs>
          <w:tab w:val="left" w:pos="907"/>
        </w:tabs>
        <w:spacing w:before="0"/>
        <w:ind w:left="0" w:firstLine="0"/>
        <w:jc w:val="both"/>
        <w:rPr>
          <w:rFonts w:ascii="Verdana" w:hAnsi="Verdana"/>
          <w:color w:val="auto"/>
          <w:sz w:val="20"/>
          <w:szCs w:val="20"/>
        </w:rPr>
      </w:pPr>
      <w:r w:rsidRPr="007154F7">
        <w:rPr>
          <w:rFonts w:ascii="Verdana" w:hAnsi="Verdana"/>
          <w:color w:val="auto"/>
          <w:sz w:val="20"/>
          <w:szCs w:val="20"/>
        </w:rPr>
        <w:t xml:space="preserve">Odpis pohledávky ve výši 9 547,00 Kč – </w:t>
      </w:r>
      <w:proofErr w:type="spellStart"/>
      <w:r w:rsidRPr="007154F7">
        <w:rPr>
          <w:rFonts w:ascii="Verdana" w:hAnsi="Verdana"/>
          <w:color w:val="auto"/>
          <w:sz w:val="20"/>
          <w:szCs w:val="20"/>
        </w:rPr>
        <w:t>xxx</w:t>
      </w:r>
      <w:proofErr w:type="spellEnd"/>
      <w:r w:rsidRPr="007154F7">
        <w:rPr>
          <w:rFonts w:ascii="Verdana" w:hAnsi="Verdana"/>
          <w:color w:val="auto"/>
          <w:sz w:val="20"/>
          <w:szCs w:val="20"/>
        </w:rPr>
        <w:t xml:space="preserve"> užívání bytů Pobřežní 9,  </w:t>
      </w:r>
      <w:proofErr w:type="spellStart"/>
      <w:r w:rsidRPr="007154F7">
        <w:rPr>
          <w:rFonts w:ascii="Verdana" w:hAnsi="Verdana"/>
          <w:color w:val="auto"/>
          <w:sz w:val="20"/>
          <w:szCs w:val="20"/>
        </w:rPr>
        <w:t>Lorecká</w:t>
      </w:r>
      <w:proofErr w:type="spellEnd"/>
      <w:r w:rsidRPr="007154F7">
        <w:rPr>
          <w:rFonts w:ascii="Verdana" w:hAnsi="Verdana"/>
          <w:color w:val="auto"/>
          <w:sz w:val="20"/>
          <w:szCs w:val="20"/>
        </w:rPr>
        <w:t xml:space="preserve"> 75, Kutná Hora</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Pohledávka ve výši 9 547,00 Kč se týká nedoplatku předpisů nájemného a služeb spojených s užíváním bytu v objektu </w:t>
      </w:r>
      <w:proofErr w:type="spellStart"/>
      <w:r w:rsidRPr="007154F7">
        <w:rPr>
          <w:rFonts w:ascii="Verdana" w:hAnsi="Verdana"/>
          <w:sz w:val="20"/>
          <w:szCs w:val="20"/>
        </w:rPr>
        <w:t>Lorecká</w:t>
      </w:r>
      <w:proofErr w:type="spellEnd"/>
      <w:r w:rsidRPr="007154F7">
        <w:rPr>
          <w:rFonts w:ascii="Verdana" w:hAnsi="Verdana"/>
          <w:sz w:val="20"/>
          <w:szCs w:val="20"/>
        </w:rPr>
        <w:t xml:space="preserve"> </w:t>
      </w:r>
      <w:proofErr w:type="gramStart"/>
      <w:r w:rsidRPr="007154F7">
        <w:rPr>
          <w:rFonts w:ascii="Verdana" w:hAnsi="Verdana"/>
          <w:sz w:val="20"/>
          <w:szCs w:val="20"/>
        </w:rPr>
        <w:t>č.p.</w:t>
      </w:r>
      <w:proofErr w:type="gramEnd"/>
      <w:r w:rsidRPr="007154F7">
        <w:rPr>
          <w:rFonts w:ascii="Verdana" w:hAnsi="Verdana"/>
          <w:sz w:val="20"/>
          <w:szCs w:val="20"/>
        </w:rPr>
        <w:t xml:space="preserve"> 75 (dluh ve výši 8 215,00 Kč za rok 1993) a Pobřežní č.p. 9 (dluh 1 332,00 Kč za rok 1995). Pan </w:t>
      </w:r>
      <w:proofErr w:type="spellStart"/>
      <w:r w:rsidRPr="007154F7">
        <w:rPr>
          <w:rFonts w:ascii="Verdana" w:hAnsi="Verdana"/>
          <w:sz w:val="20"/>
          <w:szCs w:val="20"/>
        </w:rPr>
        <w:t>xx</w:t>
      </w:r>
      <w:proofErr w:type="spellEnd"/>
      <w:r w:rsidRPr="007154F7">
        <w:rPr>
          <w:rFonts w:ascii="Verdana" w:hAnsi="Verdana"/>
          <w:sz w:val="20"/>
          <w:szCs w:val="20"/>
        </w:rPr>
        <w:t xml:space="preserve"> užíval v roce 1993 byt </w:t>
      </w:r>
      <w:proofErr w:type="spellStart"/>
      <w:r w:rsidRPr="007154F7">
        <w:rPr>
          <w:rFonts w:ascii="Verdana" w:hAnsi="Verdana"/>
          <w:sz w:val="20"/>
          <w:szCs w:val="20"/>
        </w:rPr>
        <w:t>Lorecká</w:t>
      </w:r>
      <w:proofErr w:type="spellEnd"/>
      <w:r w:rsidRPr="007154F7">
        <w:rPr>
          <w:rFonts w:ascii="Verdana" w:hAnsi="Verdana"/>
          <w:sz w:val="20"/>
          <w:szCs w:val="20"/>
        </w:rPr>
        <w:t xml:space="preserve"> 75 v Kutné Hoře. Z důvodu nehrazení nájemného mu bylo poskytnuto přístřeší v objektu Pobřežní 9 v Kutné Hoře. Přístřeší bylo ze strany pana </w:t>
      </w:r>
      <w:proofErr w:type="spellStart"/>
      <w:r w:rsidRPr="007154F7">
        <w:rPr>
          <w:rFonts w:ascii="Verdana" w:hAnsi="Verdana"/>
          <w:sz w:val="20"/>
          <w:szCs w:val="20"/>
        </w:rPr>
        <w:t>xx</w:t>
      </w:r>
      <w:proofErr w:type="spellEnd"/>
      <w:r w:rsidRPr="007154F7">
        <w:rPr>
          <w:rFonts w:ascii="Verdana" w:hAnsi="Verdana"/>
          <w:sz w:val="20"/>
          <w:szCs w:val="20"/>
        </w:rPr>
        <w:t xml:space="preserve"> vyklizeno v květnu 1995. Na dlužnou částku 9 547,00 Kč byl vystaven platební rozkaz 3 C 237/97, který nabyl právní moci </w:t>
      </w:r>
      <w:proofErr w:type="gramStart"/>
      <w:r w:rsidRPr="007154F7">
        <w:rPr>
          <w:rFonts w:ascii="Verdana" w:hAnsi="Verdana"/>
          <w:sz w:val="20"/>
          <w:szCs w:val="20"/>
        </w:rPr>
        <w:t>10.3.1997</w:t>
      </w:r>
      <w:proofErr w:type="gramEnd"/>
      <w:r w:rsidRPr="007154F7">
        <w:rPr>
          <w:rFonts w:ascii="Verdana" w:hAnsi="Verdana"/>
          <w:sz w:val="20"/>
          <w:szCs w:val="20"/>
        </w:rPr>
        <w:t xml:space="preserve">. Pohledávka byla předána k vymáhání exekutorovi </w:t>
      </w:r>
      <w:proofErr w:type="spellStart"/>
      <w:r w:rsidRPr="007154F7">
        <w:rPr>
          <w:rFonts w:ascii="Verdana" w:hAnsi="Verdana"/>
          <w:sz w:val="20"/>
          <w:szCs w:val="20"/>
        </w:rPr>
        <w:t>xxx</w:t>
      </w:r>
      <w:proofErr w:type="spellEnd"/>
      <w:r w:rsidRPr="007154F7">
        <w:rPr>
          <w:rFonts w:ascii="Verdana" w:hAnsi="Verdana"/>
          <w:sz w:val="20"/>
          <w:szCs w:val="20"/>
        </w:rPr>
        <w:t xml:space="preserve">. Dne 16.12.2019 bylo exekutorem navrženo zastavení exekuce dle § 268 </w:t>
      </w:r>
      <w:proofErr w:type="gramStart"/>
      <w:r w:rsidRPr="007154F7">
        <w:rPr>
          <w:rFonts w:ascii="Verdana" w:hAnsi="Verdana"/>
          <w:sz w:val="20"/>
          <w:szCs w:val="20"/>
        </w:rPr>
        <w:t>odst.1 písm.</w:t>
      </w:r>
      <w:proofErr w:type="gramEnd"/>
      <w:r w:rsidRPr="007154F7">
        <w:rPr>
          <w:rFonts w:ascii="Verdana" w:hAnsi="Verdana"/>
          <w:sz w:val="20"/>
          <w:szCs w:val="20"/>
        </w:rPr>
        <w:t xml:space="preserve"> e) občanského trestního řádu - průběh výkonu rozhodnutí ukazuje, že výtěžek, kterého jím bude dosaženo, nepostačí ani ke krytí jeho nákladů. Exekutor prověřil veškeré dostupné evidence majetku, ale nebyl dohledán postižitelný majetek. Dle centrální evidence exekucí je proti dlužníku vedeno 20 neúspěšných exekucí, čímž je vedení exekuce neúčelné a nehospodárné.</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Na základě výše uvedeného navrhuje odbor správy majetku pohledávku ve výši 9 547,00 Kč odepsat.</w:t>
      </w:r>
    </w:p>
    <w:p w:rsidR="004B6D91" w:rsidRPr="007154F7" w:rsidRDefault="004B6D91" w:rsidP="007154F7">
      <w:pPr>
        <w:pStyle w:val="Nadpis1"/>
        <w:keepLines w:val="0"/>
        <w:numPr>
          <w:ilvl w:val="0"/>
          <w:numId w:val="1"/>
        </w:numPr>
        <w:shd w:val="clear" w:color="auto" w:fill="EEECE1" w:themeFill="background2"/>
        <w:tabs>
          <w:tab w:val="left" w:pos="907"/>
        </w:tabs>
        <w:spacing w:before="0"/>
        <w:ind w:left="0" w:firstLine="0"/>
        <w:jc w:val="both"/>
        <w:rPr>
          <w:rFonts w:ascii="Verdana" w:hAnsi="Verdana"/>
          <w:color w:val="auto"/>
          <w:sz w:val="20"/>
          <w:szCs w:val="20"/>
        </w:rPr>
      </w:pPr>
      <w:r w:rsidRPr="007154F7">
        <w:rPr>
          <w:rFonts w:ascii="Verdana" w:hAnsi="Verdana"/>
          <w:color w:val="auto"/>
          <w:sz w:val="20"/>
          <w:szCs w:val="20"/>
        </w:rPr>
        <w:t xml:space="preserve">Odpis pohledávky ve výši 21 293,90 Kč – </w:t>
      </w:r>
      <w:proofErr w:type="spellStart"/>
      <w:r w:rsidRPr="007154F7">
        <w:rPr>
          <w:rFonts w:ascii="Verdana" w:hAnsi="Verdana"/>
          <w:color w:val="auto"/>
          <w:sz w:val="20"/>
          <w:szCs w:val="20"/>
        </w:rPr>
        <w:t>xxx</w:t>
      </w:r>
      <w:proofErr w:type="spellEnd"/>
      <w:r w:rsidRPr="007154F7">
        <w:rPr>
          <w:rFonts w:ascii="Verdana" w:hAnsi="Verdana"/>
          <w:color w:val="auto"/>
          <w:sz w:val="20"/>
          <w:szCs w:val="20"/>
        </w:rPr>
        <w:t>, užívání nebytového prostoru Masarykova 343, Kutná Hora</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Pohledávka ve výši 21 293,90 Kč se týká nedoplatku vyúčtování vody a plynu za užívání nebytového prostoru Masarykova 343, Kutná Hora za roky 1998 - 1999, který paní </w:t>
      </w:r>
      <w:proofErr w:type="spellStart"/>
      <w:r w:rsidRPr="007154F7">
        <w:rPr>
          <w:rFonts w:ascii="Verdana" w:hAnsi="Verdana"/>
          <w:sz w:val="20"/>
          <w:szCs w:val="20"/>
        </w:rPr>
        <w:t>xx</w:t>
      </w:r>
      <w:proofErr w:type="spellEnd"/>
      <w:r w:rsidRPr="007154F7">
        <w:rPr>
          <w:rFonts w:ascii="Verdana" w:hAnsi="Verdana"/>
          <w:sz w:val="20"/>
          <w:szCs w:val="20"/>
        </w:rPr>
        <w:t xml:space="preserve"> </w:t>
      </w:r>
      <w:r w:rsidRPr="007154F7">
        <w:rPr>
          <w:rFonts w:ascii="Verdana" w:hAnsi="Verdana"/>
          <w:sz w:val="20"/>
          <w:szCs w:val="20"/>
        </w:rPr>
        <w:lastRenderedPageBreak/>
        <w:t xml:space="preserve">užívala na základě nájemní smlouvy. Na dlužnou částku byl vystaven platební rozkaz Ro 372/2002, který nabyl právní moci </w:t>
      </w:r>
      <w:proofErr w:type="gramStart"/>
      <w:r w:rsidRPr="007154F7">
        <w:rPr>
          <w:rFonts w:ascii="Verdana" w:hAnsi="Verdana"/>
          <w:sz w:val="20"/>
          <w:szCs w:val="20"/>
        </w:rPr>
        <w:t>14.2.2003</w:t>
      </w:r>
      <w:proofErr w:type="gramEnd"/>
      <w:r w:rsidRPr="007154F7">
        <w:rPr>
          <w:rFonts w:ascii="Verdana" w:hAnsi="Verdana"/>
          <w:sz w:val="20"/>
          <w:szCs w:val="20"/>
        </w:rPr>
        <w:t xml:space="preserve">. Nedoplatek byl vymáhán exekučně dle EX 346/06 exekutorem </w:t>
      </w:r>
      <w:proofErr w:type="spellStart"/>
      <w:r w:rsidRPr="007154F7">
        <w:rPr>
          <w:rFonts w:ascii="Verdana" w:hAnsi="Verdana"/>
          <w:sz w:val="20"/>
          <w:szCs w:val="20"/>
        </w:rPr>
        <w:t>xxx</w:t>
      </w:r>
      <w:proofErr w:type="spellEnd"/>
      <w:r w:rsidRPr="007154F7">
        <w:rPr>
          <w:rFonts w:ascii="Verdana" w:hAnsi="Verdana"/>
          <w:sz w:val="20"/>
          <w:szCs w:val="20"/>
        </w:rPr>
        <w:t xml:space="preserve">. Dne 16.12.2019 bylo navrženo soudním exekutorem zastavení exekuce  dle § 268 </w:t>
      </w:r>
      <w:proofErr w:type="gramStart"/>
      <w:r w:rsidRPr="007154F7">
        <w:rPr>
          <w:rFonts w:ascii="Verdana" w:hAnsi="Verdana"/>
          <w:sz w:val="20"/>
          <w:szCs w:val="20"/>
        </w:rPr>
        <w:t>odst.1 písm.</w:t>
      </w:r>
      <w:proofErr w:type="gramEnd"/>
      <w:r w:rsidRPr="007154F7">
        <w:rPr>
          <w:rFonts w:ascii="Verdana" w:hAnsi="Verdana"/>
          <w:sz w:val="20"/>
          <w:szCs w:val="20"/>
        </w:rPr>
        <w:t xml:space="preserve"> e) občanského trestního řádu, kdy průběh výkonu rozhodnutí ukazuje, že výtěžek, kterého jím bude dosaženo, nepostačí ani ke krytí jeho nákladů. Exekutor sděluje, že na základě opakovaného a marného pátrání po pobytu povinné a jejího majetku je vedení exekuce neúčelné a nehospodárné. Proti povinné je vedeno dalších 10 exekucí.</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Na základě výše uvedeného navrhuje odbor správy majetku pohledávku ve výši 21 293,90 Kč odepsat.</w:t>
      </w:r>
    </w:p>
    <w:p w:rsidR="004B6D91" w:rsidRPr="007154F7" w:rsidRDefault="004B6D91" w:rsidP="007154F7">
      <w:pPr>
        <w:pStyle w:val="Nadpis1"/>
        <w:keepLines w:val="0"/>
        <w:numPr>
          <w:ilvl w:val="0"/>
          <w:numId w:val="1"/>
        </w:numPr>
        <w:shd w:val="clear" w:color="auto" w:fill="EEECE1" w:themeFill="background2"/>
        <w:tabs>
          <w:tab w:val="left" w:pos="907"/>
        </w:tabs>
        <w:spacing w:before="0"/>
        <w:ind w:left="0" w:firstLine="0"/>
        <w:jc w:val="both"/>
        <w:rPr>
          <w:rFonts w:ascii="Verdana" w:hAnsi="Verdana"/>
          <w:color w:val="auto"/>
          <w:sz w:val="20"/>
          <w:szCs w:val="20"/>
        </w:rPr>
      </w:pPr>
      <w:r w:rsidRPr="007154F7">
        <w:rPr>
          <w:rFonts w:ascii="Verdana" w:hAnsi="Verdana"/>
          <w:color w:val="auto"/>
          <w:sz w:val="20"/>
          <w:szCs w:val="20"/>
        </w:rPr>
        <w:t xml:space="preserve">Odpis pohledávky ve výši 16 859,90 Kč – </w:t>
      </w:r>
      <w:proofErr w:type="spellStart"/>
      <w:r w:rsidRPr="007154F7">
        <w:rPr>
          <w:rFonts w:ascii="Verdana" w:hAnsi="Verdana"/>
          <w:color w:val="auto"/>
          <w:sz w:val="20"/>
          <w:szCs w:val="20"/>
        </w:rPr>
        <w:t>xxx</w:t>
      </w:r>
      <w:proofErr w:type="spellEnd"/>
      <w:r w:rsidRPr="007154F7">
        <w:rPr>
          <w:rFonts w:ascii="Verdana" w:hAnsi="Verdana"/>
          <w:color w:val="auto"/>
          <w:sz w:val="20"/>
          <w:szCs w:val="20"/>
        </w:rPr>
        <w:t xml:space="preserve">, užívání nebytového prostoru </w:t>
      </w:r>
      <w:proofErr w:type="spellStart"/>
      <w:r w:rsidRPr="007154F7">
        <w:rPr>
          <w:rFonts w:ascii="Verdana" w:hAnsi="Verdana"/>
          <w:color w:val="auto"/>
          <w:sz w:val="20"/>
          <w:szCs w:val="20"/>
        </w:rPr>
        <w:t>Mazákova</w:t>
      </w:r>
      <w:proofErr w:type="spellEnd"/>
      <w:r w:rsidRPr="007154F7">
        <w:rPr>
          <w:rFonts w:ascii="Verdana" w:hAnsi="Verdana"/>
          <w:color w:val="auto"/>
          <w:sz w:val="20"/>
          <w:szCs w:val="20"/>
        </w:rPr>
        <w:t xml:space="preserve"> 168, Kutná Hora</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Pohledávka ve výši 16 859,90 Kč se týká nedoplatku vyúčtování vody a tepla za užívání nebytového prostoru </w:t>
      </w:r>
      <w:proofErr w:type="spellStart"/>
      <w:r w:rsidRPr="007154F7">
        <w:rPr>
          <w:rFonts w:ascii="Verdana" w:hAnsi="Verdana"/>
          <w:sz w:val="20"/>
          <w:szCs w:val="20"/>
        </w:rPr>
        <w:t>Mazákova</w:t>
      </w:r>
      <w:proofErr w:type="spellEnd"/>
      <w:r w:rsidRPr="007154F7">
        <w:rPr>
          <w:rFonts w:ascii="Verdana" w:hAnsi="Verdana"/>
          <w:sz w:val="20"/>
          <w:szCs w:val="20"/>
        </w:rPr>
        <w:t xml:space="preserve"> 168, Kutná Hora za roky 1997 - 1998, který paní </w:t>
      </w:r>
      <w:proofErr w:type="spellStart"/>
      <w:r w:rsidRPr="007154F7">
        <w:rPr>
          <w:rFonts w:ascii="Verdana" w:hAnsi="Verdana"/>
          <w:sz w:val="20"/>
          <w:szCs w:val="20"/>
        </w:rPr>
        <w:t>xx</w:t>
      </w:r>
      <w:proofErr w:type="spellEnd"/>
      <w:r w:rsidRPr="007154F7">
        <w:rPr>
          <w:rFonts w:ascii="Verdana" w:hAnsi="Verdana"/>
          <w:sz w:val="20"/>
          <w:szCs w:val="20"/>
        </w:rPr>
        <w:t xml:space="preserve"> užívala na základě nájemní smlouvy. Na dlužnou částku byl vystaven platební rozkaz 11 C 233/98, který nabyl právní moci </w:t>
      </w:r>
      <w:proofErr w:type="gramStart"/>
      <w:r w:rsidRPr="007154F7">
        <w:rPr>
          <w:rFonts w:ascii="Verdana" w:hAnsi="Verdana"/>
          <w:sz w:val="20"/>
          <w:szCs w:val="20"/>
        </w:rPr>
        <w:t>13.2.1999</w:t>
      </w:r>
      <w:proofErr w:type="gramEnd"/>
      <w:r w:rsidRPr="007154F7">
        <w:rPr>
          <w:rFonts w:ascii="Verdana" w:hAnsi="Verdana"/>
          <w:sz w:val="20"/>
          <w:szCs w:val="20"/>
        </w:rPr>
        <w:t xml:space="preserve">. Nedoplatek byl vymáhán exekučně dle 4 </w:t>
      </w:r>
      <w:proofErr w:type="spellStart"/>
      <w:r w:rsidRPr="007154F7">
        <w:rPr>
          <w:rFonts w:ascii="Verdana" w:hAnsi="Verdana"/>
          <w:sz w:val="20"/>
          <w:szCs w:val="20"/>
        </w:rPr>
        <w:t>Nc</w:t>
      </w:r>
      <w:proofErr w:type="spellEnd"/>
      <w:r w:rsidRPr="007154F7">
        <w:rPr>
          <w:rFonts w:ascii="Verdana" w:hAnsi="Verdana"/>
          <w:sz w:val="20"/>
          <w:szCs w:val="20"/>
        </w:rPr>
        <w:t xml:space="preserve"> 2515/2006 exekutorem </w:t>
      </w:r>
      <w:proofErr w:type="spellStart"/>
      <w:r w:rsidRPr="007154F7">
        <w:rPr>
          <w:rFonts w:ascii="Verdana" w:hAnsi="Verdana"/>
          <w:sz w:val="20"/>
          <w:szCs w:val="20"/>
        </w:rPr>
        <w:t>xx</w:t>
      </w:r>
      <w:proofErr w:type="spellEnd"/>
      <w:r w:rsidRPr="007154F7">
        <w:rPr>
          <w:rFonts w:ascii="Verdana" w:hAnsi="Verdana"/>
          <w:sz w:val="20"/>
          <w:szCs w:val="20"/>
        </w:rPr>
        <w:t xml:space="preserve">. Dne 16.12.2019 bylo navrženo soudním exekutorem zastavení exekuce  dle § 268 </w:t>
      </w:r>
      <w:proofErr w:type="gramStart"/>
      <w:r w:rsidRPr="007154F7">
        <w:rPr>
          <w:rFonts w:ascii="Verdana" w:hAnsi="Verdana"/>
          <w:sz w:val="20"/>
          <w:szCs w:val="20"/>
        </w:rPr>
        <w:t>odst.1 písm.</w:t>
      </w:r>
      <w:proofErr w:type="gramEnd"/>
      <w:r w:rsidRPr="007154F7">
        <w:rPr>
          <w:rFonts w:ascii="Verdana" w:hAnsi="Verdana"/>
          <w:sz w:val="20"/>
          <w:szCs w:val="20"/>
        </w:rPr>
        <w:t xml:space="preserve"> e) občanského trestního řádu, kdy průběh výkonu rozhodnutí ukazuje, že výtěžek, kterého jím bude dosaženo, nepostačí ani ke krytí jeho nákladů. Exekutor sděluje, že na základě opakovaného a marného pátrání po pobytu povinné a jejího majetku je vedení exekuce neúčelné a nehospodárné. Proti povinné je vedeno dalších 16 exekucí.</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Na základě výše uvedeného navrhuje odbor správy majetku pohledávku ve výši 16 859,90 Kč odepsat.</w:t>
      </w:r>
    </w:p>
    <w:p w:rsidR="004B6D91" w:rsidRPr="007154F7" w:rsidRDefault="004B6D91" w:rsidP="007154F7">
      <w:pPr>
        <w:pStyle w:val="Nadpis1"/>
        <w:keepLines w:val="0"/>
        <w:numPr>
          <w:ilvl w:val="0"/>
          <w:numId w:val="1"/>
        </w:numPr>
        <w:shd w:val="clear" w:color="auto" w:fill="EEECE1" w:themeFill="background2"/>
        <w:tabs>
          <w:tab w:val="left" w:pos="907"/>
        </w:tabs>
        <w:spacing w:before="0"/>
        <w:ind w:left="0" w:firstLine="0"/>
        <w:jc w:val="both"/>
        <w:rPr>
          <w:rFonts w:ascii="Verdana" w:hAnsi="Verdana"/>
          <w:color w:val="auto"/>
          <w:sz w:val="20"/>
          <w:szCs w:val="20"/>
        </w:rPr>
      </w:pPr>
      <w:r w:rsidRPr="007154F7">
        <w:rPr>
          <w:rFonts w:ascii="Verdana" w:hAnsi="Verdana"/>
          <w:color w:val="auto"/>
          <w:sz w:val="20"/>
          <w:szCs w:val="20"/>
        </w:rPr>
        <w:t xml:space="preserve">Odpis pohledávky ve výši 116 809,00 Kč – </w:t>
      </w:r>
      <w:proofErr w:type="spellStart"/>
      <w:r w:rsidRPr="007154F7">
        <w:rPr>
          <w:rFonts w:ascii="Verdana" w:hAnsi="Verdana"/>
          <w:color w:val="auto"/>
          <w:sz w:val="20"/>
          <w:szCs w:val="20"/>
        </w:rPr>
        <w:t>xxx</w:t>
      </w:r>
      <w:proofErr w:type="spellEnd"/>
      <w:r w:rsidRPr="007154F7">
        <w:rPr>
          <w:rFonts w:ascii="Verdana" w:hAnsi="Verdana"/>
          <w:color w:val="auto"/>
          <w:sz w:val="20"/>
          <w:szCs w:val="20"/>
        </w:rPr>
        <w:t xml:space="preserve"> užívání bytu Benešova 636, Kutná Hora</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Pohledávka ve výši 116 809,00 Kč se týká nedoplatku předpisů nájemného a služeb spojených s užíváním bytu č. 1 v objektu Benešova 636, Kutná Hora za roky 1997 – 1999. Byt byl ze strany pana </w:t>
      </w:r>
      <w:proofErr w:type="spellStart"/>
      <w:r w:rsidRPr="007154F7">
        <w:rPr>
          <w:rFonts w:ascii="Verdana" w:hAnsi="Verdana"/>
          <w:sz w:val="20"/>
          <w:szCs w:val="20"/>
        </w:rPr>
        <w:t>xx</w:t>
      </w:r>
      <w:proofErr w:type="spellEnd"/>
      <w:r w:rsidRPr="007154F7">
        <w:rPr>
          <w:rFonts w:ascii="Verdana" w:hAnsi="Verdana"/>
          <w:sz w:val="20"/>
          <w:szCs w:val="20"/>
        </w:rPr>
        <w:t xml:space="preserve"> vyklizen a předán zpět městu </w:t>
      </w:r>
      <w:proofErr w:type="gramStart"/>
      <w:r w:rsidRPr="007154F7">
        <w:rPr>
          <w:rFonts w:ascii="Verdana" w:hAnsi="Verdana"/>
          <w:sz w:val="20"/>
          <w:szCs w:val="20"/>
        </w:rPr>
        <w:t>30.9.1999</w:t>
      </w:r>
      <w:proofErr w:type="gramEnd"/>
      <w:r w:rsidRPr="007154F7">
        <w:rPr>
          <w:rFonts w:ascii="Verdana" w:hAnsi="Verdana"/>
          <w:sz w:val="20"/>
          <w:szCs w:val="20"/>
        </w:rPr>
        <w:t>.</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Na dlužnou částku byl vystaven platební rozkaz 3 C 104/98, který nabyl právní moci </w:t>
      </w:r>
      <w:proofErr w:type="gramStart"/>
      <w:r w:rsidRPr="007154F7">
        <w:rPr>
          <w:rFonts w:ascii="Verdana" w:hAnsi="Verdana"/>
          <w:sz w:val="20"/>
          <w:szCs w:val="20"/>
        </w:rPr>
        <w:t>3.7.1998</w:t>
      </w:r>
      <w:proofErr w:type="gramEnd"/>
      <w:r w:rsidRPr="007154F7">
        <w:rPr>
          <w:rFonts w:ascii="Verdana" w:hAnsi="Verdana"/>
          <w:sz w:val="20"/>
          <w:szCs w:val="20"/>
        </w:rPr>
        <w:t xml:space="preserve"> a platební rozkaz 4 C 45/2002, který nabyl právní moci 25.6.2002. Poplatek z prodlení a soudní náklady z toho činily 50 990,00 Kč. Dlužná částka byla předána k vymáhání soudnímu exekutorovi. Dne 16.12.2019 bylo exekutorem navrženo zastavení exekuce dle § 268 </w:t>
      </w:r>
      <w:proofErr w:type="gramStart"/>
      <w:r w:rsidRPr="007154F7">
        <w:rPr>
          <w:rFonts w:ascii="Verdana" w:hAnsi="Verdana"/>
          <w:sz w:val="20"/>
          <w:szCs w:val="20"/>
        </w:rPr>
        <w:t>odst.1 písm.</w:t>
      </w:r>
      <w:proofErr w:type="gramEnd"/>
      <w:r w:rsidRPr="007154F7">
        <w:rPr>
          <w:rFonts w:ascii="Verdana" w:hAnsi="Verdana"/>
          <w:sz w:val="20"/>
          <w:szCs w:val="20"/>
        </w:rPr>
        <w:t xml:space="preserve"> e) občanského trestního řádu - průběh výkonu rozhodnutí ukazuje, že výtěžek, kterého jím bude dosaženo, nepostačí ani ke krytí jeho nákladů. Exekutor prověřil veškeré dostupné evidence majetku, dle údajů z katastru nemovitostí nevlastní nemovitosti a rovněž nebyly dohledány žádné postižitelné movité věci. Dle centrální evidence exekucí je proti dlužníku vedeno 8 neúspěšných exekucí, čímž je vedení exekuce neúčelné a nehospodárné.</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Na základě výše uvedeného navrhuje odbor správy majetku pohledávku ve výši 116 809,00 Kč odepsat.</w:t>
      </w:r>
    </w:p>
    <w:p w:rsidR="004B6D91" w:rsidRPr="007154F7" w:rsidRDefault="004B6D91" w:rsidP="007154F7">
      <w:pPr>
        <w:pStyle w:val="Nadpis1"/>
        <w:keepLines w:val="0"/>
        <w:numPr>
          <w:ilvl w:val="0"/>
          <w:numId w:val="1"/>
        </w:numPr>
        <w:shd w:val="clear" w:color="auto" w:fill="EEECE1" w:themeFill="background2"/>
        <w:tabs>
          <w:tab w:val="left" w:pos="907"/>
        </w:tabs>
        <w:spacing w:before="0"/>
        <w:ind w:left="0" w:firstLine="0"/>
        <w:jc w:val="both"/>
        <w:rPr>
          <w:rFonts w:ascii="Verdana" w:hAnsi="Verdana"/>
          <w:color w:val="auto"/>
          <w:sz w:val="20"/>
          <w:szCs w:val="20"/>
        </w:rPr>
      </w:pPr>
      <w:r w:rsidRPr="007154F7">
        <w:rPr>
          <w:rFonts w:ascii="Verdana" w:hAnsi="Verdana"/>
          <w:color w:val="auto"/>
          <w:sz w:val="20"/>
          <w:szCs w:val="20"/>
        </w:rPr>
        <w:t xml:space="preserve">Odpis pohledávky ve výši 9 887,00 Kč – </w:t>
      </w:r>
      <w:proofErr w:type="spellStart"/>
      <w:r w:rsidRPr="007154F7">
        <w:rPr>
          <w:rFonts w:ascii="Verdana" w:hAnsi="Verdana"/>
          <w:color w:val="auto"/>
          <w:sz w:val="20"/>
          <w:szCs w:val="20"/>
        </w:rPr>
        <w:t>xxx</w:t>
      </w:r>
      <w:proofErr w:type="spellEnd"/>
      <w:r w:rsidRPr="007154F7">
        <w:rPr>
          <w:rFonts w:ascii="Verdana" w:hAnsi="Verdana"/>
          <w:color w:val="auto"/>
          <w:sz w:val="20"/>
          <w:szCs w:val="20"/>
        </w:rPr>
        <w:t xml:space="preserve">, užívání bytu č. 2, Neškaredice </w:t>
      </w:r>
      <w:proofErr w:type="gramStart"/>
      <w:r w:rsidRPr="007154F7">
        <w:rPr>
          <w:rFonts w:ascii="Verdana" w:hAnsi="Verdana"/>
          <w:color w:val="auto"/>
          <w:sz w:val="20"/>
          <w:szCs w:val="20"/>
        </w:rPr>
        <w:t>č.p.</w:t>
      </w:r>
      <w:proofErr w:type="gramEnd"/>
      <w:r w:rsidRPr="007154F7">
        <w:rPr>
          <w:rFonts w:ascii="Verdana" w:hAnsi="Verdana"/>
          <w:color w:val="auto"/>
          <w:sz w:val="20"/>
          <w:szCs w:val="20"/>
        </w:rPr>
        <w:t xml:space="preserve"> 54, Kutná Hora</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Pohledávka ve výši 9 887,00 Kč se týká nedoplatku předpisů vyúčtování služeb spojených s užíváním bytu č. 2 v objektu Neškaredice 54 za rok 2000. Na dlužnou částku  byl vystaven platební rozkaz Ro 120/2002, který nabyl právní moci </w:t>
      </w:r>
      <w:proofErr w:type="gramStart"/>
      <w:r w:rsidRPr="007154F7">
        <w:rPr>
          <w:rFonts w:ascii="Verdana" w:hAnsi="Verdana"/>
          <w:sz w:val="20"/>
          <w:szCs w:val="20"/>
        </w:rPr>
        <w:t>12.7.2002</w:t>
      </w:r>
      <w:proofErr w:type="gramEnd"/>
      <w:r w:rsidRPr="007154F7">
        <w:rPr>
          <w:rFonts w:ascii="Verdana" w:hAnsi="Verdana"/>
          <w:sz w:val="20"/>
          <w:szCs w:val="20"/>
        </w:rPr>
        <w:t xml:space="preserve">. Dlužná částka byla vymáhána exekučně dle 4 </w:t>
      </w:r>
      <w:proofErr w:type="spellStart"/>
      <w:r w:rsidRPr="007154F7">
        <w:rPr>
          <w:rFonts w:ascii="Verdana" w:hAnsi="Verdana"/>
          <w:sz w:val="20"/>
          <w:szCs w:val="20"/>
        </w:rPr>
        <w:t>Nc</w:t>
      </w:r>
      <w:proofErr w:type="spellEnd"/>
      <w:r w:rsidRPr="007154F7">
        <w:rPr>
          <w:rFonts w:ascii="Verdana" w:hAnsi="Verdana"/>
          <w:sz w:val="20"/>
          <w:szCs w:val="20"/>
        </w:rPr>
        <w:t xml:space="preserve"> 2544/2006 exekutorem </w:t>
      </w:r>
      <w:proofErr w:type="spellStart"/>
      <w:r w:rsidRPr="007154F7">
        <w:rPr>
          <w:rFonts w:ascii="Verdana" w:hAnsi="Verdana"/>
          <w:sz w:val="20"/>
          <w:szCs w:val="20"/>
        </w:rPr>
        <w:t>xx</w:t>
      </w:r>
      <w:proofErr w:type="spellEnd"/>
      <w:r w:rsidRPr="007154F7">
        <w:rPr>
          <w:rFonts w:ascii="Verdana" w:hAnsi="Verdana"/>
          <w:sz w:val="20"/>
          <w:szCs w:val="20"/>
        </w:rPr>
        <w:t xml:space="preserve">. Dne </w:t>
      </w:r>
      <w:proofErr w:type="gramStart"/>
      <w:r w:rsidRPr="007154F7">
        <w:rPr>
          <w:rFonts w:ascii="Verdana" w:hAnsi="Verdana"/>
          <w:sz w:val="20"/>
          <w:szCs w:val="20"/>
        </w:rPr>
        <w:t>16.12.2019</w:t>
      </w:r>
      <w:proofErr w:type="gramEnd"/>
      <w:r w:rsidRPr="007154F7">
        <w:rPr>
          <w:rFonts w:ascii="Verdana" w:hAnsi="Verdana"/>
          <w:sz w:val="20"/>
          <w:szCs w:val="20"/>
        </w:rPr>
        <w:t xml:space="preserve"> bylo exekutorem navrženo zastavení exekuce dle § 268 odst. 1 písm. e) občanského trestního řádu - průběh výkonu rozhodnutí ukazuje, že výtěžek, kterého jím bude dosaženo, nepostačí ani ke krytí jeho nákladů. Exekutor prověřil veškeré dostupné evidence majetku, ale nebyl dohledán </w:t>
      </w:r>
      <w:r w:rsidRPr="007154F7">
        <w:rPr>
          <w:rFonts w:ascii="Verdana" w:hAnsi="Verdana"/>
          <w:sz w:val="20"/>
          <w:szCs w:val="20"/>
        </w:rPr>
        <w:lastRenderedPageBreak/>
        <w:t>postižitelný majetek. Dle centrální evidence exekucí je proti dlužníku vedeno 8 neúspěšných exekucí, čímž je vedení exekuce neúčelné a nehospodárné.</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Na základě výše uvedeného navrhuje odbor správy majetku pohledávku ve výši 9 887,00 Kč odepsat.</w:t>
      </w:r>
    </w:p>
    <w:p w:rsidR="004B6D91" w:rsidRPr="007154F7" w:rsidRDefault="004B6D91" w:rsidP="007154F7">
      <w:pPr>
        <w:pStyle w:val="Nadpis1"/>
        <w:keepLines w:val="0"/>
        <w:numPr>
          <w:ilvl w:val="0"/>
          <w:numId w:val="1"/>
        </w:numPr>
        <w:shd w:val="clear" w:color="auto" w:fill="EEECE1" w:themeFill="background2"/>
        <w:tabs>
          <w:tab w:val="left" w:pos="907"/>
        </w:tabs>
        <w:spacing w:before="0"/>
        <w:ind w:left="0" w:firstLine="0"/>
        <w:jc w:val="both"/>
        <w:rPr>
          <w:rFonts w:ascii="Verdana" w:hAnsi="Verdana"/>
          <w:color w:val="auto"/>
          <w:sz w:val="20"/>
          <w:szCs w:val="20"/>
        </w:rPr>
      </w:pPr>
      <w:r w:rsidRPr="007154F7">
        <w:rPr>
          <w:rFonts w:ascii="Verdana" w:hAnsi="Verdana"/>
          <w:color w:val="auto"/>
          <w:sz w:val="20"/>
          <w:szCs w:val="20"/>
        </w:rPr>
        <w:t xml:space="preserve">Odpis pohledávky ve výši 47 715,00 Kč – </w:t>
      </w:r>
      <w:proofErr w:type="spellStart"/>
      <w:r w:rsidRPr="007154F7">
        <w:rPr>
          <w:rFonts w:ascii="Verdana" w:hAnsi="Verdana"/>
          <w:color w:val="auto"/>
          <w:sz w:val="20"/>
          <w:szCs w:val="20"/>
        </w:rPr>
        <w:t>xx</w:t>
      </w:r>
      <w:proofErr w:type="spellEnd"/>
      <w:r w:rsidRPr="007154F7">
        <w:rPr>
          <w:rFonts w:ascii="Verdana" w:hAnsi="Verdana"/>
          <w:color w:val="auto"/>
          <w:sz w:val="20"/>
          <w:szCs w:val="20"/>
        </w:rPr>
        <w:t>, užívání bytu č. 11, Benešova 614, Kutná Hora</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Pohledávka ve výši 47 715,00 Kč se týká nedoplatku předpisů nájemného a služeb spojených s užíváním bytu č. 11 v objektu Benešova 614, Kutná Hora za roky 1995 – 1997. Na dlužnou částku byl vystaven rozsudek jménem republiky </w:t>
      </w:r>
      <w:proofErr w:type="gramStart"/>
      <w:r w:rsidRPr="007154F7">
        <w:rPr>
          <w:rFonts w:ascii="Verdana" w:hAnsi="Verdana"/>
          <w:sz w:val="20"/>
          <w:szCs w:val="20"/>
        </w:rPr>
        <w:t>č.j.</w:t>
      </w:r>
      <w:proofErr w:type="gramEnd"/>
      <w:r w:rsidRPr="007154F7">
        <w:rPr>
          <w:rFonts w:ascii="Verdana" w:hAnsi="Verdana"/>
          <w:sz w:val="20"/>
          <w:szCs w:val="20"/>
        </w:rPr>
        <w:t xml:space="preserve"> 11C 168/99, který nabyl právní moci 17.9.2000. Dlužná částka byla vymáhána exekučně dle EX 347/06 </w:t>
      </w:r>
      <w:proofErr w:type="spellStart"/>
      <w:r w:rsidRPr="007154F7">
        <w:rPr>
          <w:rFonts w:ascii="Verdana" w:hAnsi="Verdana"/>
          <w:sz w:val="20"/>
          <w:szCs w:val="20"/>
        </w:rPr>
        <w:t>exekutoremxx</w:t>
      </w:r>
      <w:proofErr w:type="spellEnd"/>
      <w:r w:rsidRPr="007154F7">
        <w:rPr>
          <w:rFonts w:ascii="Verdana" w:hAnsi="Verdana"/>
          <w:sz w:val="20"/>
          <w:szCs w:val="20"/>
        </w:rPr>
        <w:t xml:space="preserve">. Exekutor sděluje, že na základě opakovaného a marného pátrání po pobytu povinného a jeho majetku, je vedení exekuce neúčelné a nehospodárné. Dne 16.12.2019 bylo navrženo zastavení exekuce dle § 268 </w:t>
      </w:r>
      <w:proofErr w:type="gramStart"/>
      <w:r w:rsidRPr="007154F7">
        <w:rPr>
          <w:rFonts w:ascii="Verdana" w:hAnsi="Verdana"/>
          <w:sz w:val="20"/>
          <w:szCs w:val="20"/>
        </w:rPr>
        <w:t>odst.1 písm.</w:t>
      </w:r>
      <w:proofErr w:type="gramEnd"/>
      <w:r w:rsidRPr="007154F7">
        <w:rPr>
          <w:rFonts w:ascii="Verdana" w:hAnsi="Verdana"/>
          <w:sz w:val="20"/>
          <w:szCs w:val="20"/>
        </w:rPr>
        <w:t xml:space="preserve"> e) občanského trestního řádu - průběh výkonu rozhodnutí ukazuje, že výtěžek, kterého jím bude dosaženo, nepostačí ani ke krytí jeho nákladů, čímž je vedení exekuce neúčelné a nehospodárné.</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Na základě výše uvedeného navrhuje odbor správy majetku pohledávku ve výši 47 715,00 Kč odepsat.</w:t>
      </w:r>
    </w:p>
    <w:p w:rsidR="004B6D91" w:rsidRPr="007154F7" w:rsidRDefault="004B6D91" w:rsidP="007154F7">
      <w:pPr>
        <w:pStyle w:val="Nadpis1"/>
        <w:keepLines w:val="0"/>
        <w:numPr>
          <w:ilvl w:val="0"/>
          <w:numId w:val="1"/>
        </w:numPr>
        <w:shd w:val="clear" w:color="auto" w:fill="EEECE1" w:themeFill="background2"/>
        <w:tabs>
          <w:tab w:val="left" w:pos="907"/>
        </w:tabs>
        <w:spacing w:before="0"/>
        <w:ind w:left="0" w:firstLine="0"/>
        <w:jc w:val="both"/>
        <w:rPr>
          <w:rFonts w:ascii="Verdana" w:hAnsi="Verdana"/>
          <w:color w:val="auto"/>
          <w:sz w:val="20"/>
          <w:szCs w:val="20"/>
        </w:rPr>
      </w:pPr>
      <w:r w:rsidRPr="007154F7">
        <w:rPr>
          <w:rFonts w:ascii="Verdana" w:hAnsi="Verdana"/>
          <w:color w:val="auto"/>
          <w:sz w:val="20"/>
          <w:szCs w:val="20"/>
        </w:rPr>
        <w:t xml:space="preserve">Odpis pohledávky ve výši 200 402,00 </w:t>
      </w:r>
      <w:proofErr w:type="gramStart"/>
      <w:r w:rsidRPr="007154F7">
        <w:rPr>
          <w:rFonts w:ascii="Verdana" w:hAnsi="Verdana"/>
          <w:color w:val="auto"/>
          <w:sz w:val="20"/>
          <w:szCs w:val="20"/>
        </w:rPr>
        <w:t>Kč</w:t>
      </w:r>
      <w:proofErr w:type="gramEnd"/>
      <w:r w:rsidRPr="007154F7">
        <w:rPr>
          <w:rFonts w:ascii="Verdana" w:hAnsi="Verdana"/>
          <w:color w:val="auto"/>
          <w:sz w:val="20"/>
          <w:szCs w:val="20"/>
        </w:rPr>
        <w:t xml:space="preserve"> –</w:t>
      </w:r>
      <w:proofErr w:type="spellStart"/>
      <w:proofErr w:type="gramStart"/>
      <w:r w:rsidRPr="007154F7">
        <w:rPr>
          <w:rFonts w:ascii="Verdana" w:hAnsi="Verdana"/>
          <w:color w:val="auto"/>
          <w:sz w:val="20"/>
          <w:szCs w:val="20"/>
        </w:rPr>
        <w:t>xx</w:t>
      </w:r>
      <w:proofErr w:type="spellEnd"/>
      <w:proofErr w:type="gramEnd"/>
      <w:r w:rsidRPr="007154F7">
        <w:rPr>
          <w:rFonts w:ascii="Verdana" w:hAnsi="Verdana"/>
          <w:color w:val="auto"/>
          <w:sz w:val="20"/>
          <w:szCs w:val="20"/>
        </w:rPr>
        <w:t>, užívání bytu Masarykova 599, Kutná Hora</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Pohledávka ve výši 200 402,00 Kč se týká nedoplatku předpisů nájemného a služeb spojených s užíváním bytu č. 2 v objektu Masarykova 599, Kutná Hora za roky 1997 – 1999. Na dlužnou částku byl vystaven platební rozkaz 9 C 11/2001, který nabyl právní moci </w:t>
      </w:r>
      <w:proofErr w:type="gramStart"/>
      <w:r w:rsidRPr="007154F7">
        <w:rPr>
          <w:rFonts w:ascii="Verdana" w:hAnsi="Verdana"/>
          <w:sz w:val="20"/>
          <w:szCs w:val="20"/>
        </w:rPr>
        <w:t>13.6.2001</w:t>
      </w:r>
      <w:proofErr w:type="gramEnd"/>
      <w:r w:rsidRPr="007154F7">
        <w:rPr>
          <w:rFonts w:ascii="Verdana" w:hAnsi="Verdana"/>
          <w:sz w:val="20"/>
          <w:szCs w:val="20"/>
        </w:rPr>
        <w:t xml:space="preserve"> a platební rozkaz 10 C 23/2002, který nabyl právní moci 30.10.2002. Dlužná částka včetně příslušenství byla předána k vymáhání soudnímu exekutorovi. Výkon rozhodnutí vedení exekuce probíhal na základě usnesení 4Nc 2517/2006. Dne 16.12.2019 bylo exekutorem </w:t>
      </w:r>
      <w:proofErr w:type="spellStart"/>
      <w:r w:rsidRPr="007154F7">
        <w:rPr>
          <w:rFonts w:ascii="Verdana" w:hAnsi="Verdana"/>
          <w:sz w:val="20"/>
          <w:szCs w:val="20"/>
        </w:rPr>
        <w:t>xxx</w:t>
      </w:r>
      <w:proofErr w:type="spellEnd"/>
      <w:r w:rsidRPr="007154F7">
        <w:rPr>
          <w:rFonts w:ascii="Verdana" w:hAnsi="Verdana"/>
          <w:sz w:val="20"/>
          <w:szCs w:val="20"/>
        </w:rPr>
        <w:t xml:space="preserve"> navrženo zastavení exekuce dle § 268 </w:t>
      </w:r>
      <w:proofErr w:type="gramStart"/>
      <w:r w:rsidRPr="007154F7">
        <w:rPr>
          <w:rFonts w:ascii="Verdana" w:hAnsi="Verdana"/>
          <w:sz w:val="20"/>
          <w:szCs w:val="20"/>
        </w:rPr>
        <w:t>odst.1 písm.</w:t>
      </w:r>
      <w:proofErr w:type="gramEnd"/>
      <w:r w:rsidRPr="007154F7">
        <w:rPr>
          <w:rFonts w:ascii="Verdana" w:hAnsi="Verdana"/>
          <w:sz w:val="20"/>
          <w:szCs w:val="20"/>
        </w:rPr>
        <w:t xml:space="preserve"> e) občanského trestního řádu - průběh výkonu rozhodnutí ukazuje, že výtěžek, kterého jím bude dosaženo, nepostačí ani ke krytí jeho nákladů. Exekutor prověřil veškeré dostupné evidence majetku, dle údajů z katastru nemovitostí nevlastní nemovitosti a rovněž nebyly dohledány žádné postižitelné movité věci. Dle centrální evidence exekucí jsou proti dlužníku vedeny 4 neúspěšné exekuce, čímž je vedení exekuce neúčelné a nehospodárné.</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Na základě výše uvedeného navrhuje odbor správy majetku pohledávku ve výši 200 402,00 Kč odepsat.</w:t>
      </w:r>
    </w:p>
    <w:p w:rsidR="004B6D91" w:rsidRPr="007154F7" w:rsidRDefault="004B6D91" w:rsidP="007154F7">
      <w:pPr>
        <w:pStyle w:val="Nadpis1"/>
        <w:keepLines w:val="0"/>
        <w:numPr>
          <w:ilvl w:val="0"/>
          <w:numId w:val="1"/>
        </w:numPr>
        <w:shd w:val="clear" w:color="auto" w:fill="EEECE1" w:themeFill="background2"/>
        <w:tabs>
          <w:tab w:val="left" w:pos="907"/>
        </w:tabs>
        <w:spacing w:before="0"/>
        <w:ind w:left="0" w:firstLine="0"/>
        <w:jc w:val="both"/>
        <w:rPr>
          <w:rFonts w:ascii="Verdana" w:hAnsi="Verdana"/>
          <w:color w:val="auto"/>
          <w:sz w:val="20"/>
          <w:szCs w:val="20"/>
        </w:rPr>
      </w:pPr>
      <w:r w:rsidRPr="007154F7">
        <w:rPr>
          <w:rFonts w:ascii="Verdana" w:hAnsi="Verdana"/>
          <w:color w:val="auto"/>
          <w:sz w:val="20"/>
          <w:szCs w:val="20"/>
        </w:rPr>
        <w:t xml:space="preserve">Odpis pohledávky ve výši 22 573,00 Kč – </w:t>
      </w:r>
      <w:proofErr w:type="spellStart"/>
      <w:r w:rsidRPr="007154F7">
        <w:rPr>
          <w:rFonts w:ascii="Verdana" w:hAnsi="Verdana"/>
          <w:color w:val="auto"/>
          <w:sz w:val="20"/>
          <w:szCs w:val="20"/>
        </w:rPr>
        <w:t>xx</w:t>
      </w:r>
      <w:proofErr w:type="spellEnd"/>
      <w:r w:rsidRPr="007154F7">
        <w:rPr>
          <w:rFonts w:ascii="Verdana" w:hAnsi="Verdana"/>
          <w:color w:val="auto"/>
          <w:sz w:val="20"/>
          <w:szCs w:val="20"/>
        </w:rPr>
        <w:t>, užívání bytu č. 1, Na Studních 71, Kutná Hora</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Pohledávka ve výši 22 573,00 se týká nedoplatků předpisů služeb a nájemného spojených s užíváním bytu č. 1, Na Studních 71, Kutná Hora za rok 1999. </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 xml:space="preserve">Na dlužnou částku byl vystaven platební rozkaz 8 C 110/2006, který nabyl právní moci </w:t>
      </w:r>
      <w:proofErr w:type="gramStart"/>
      <w:r w:rsidRPr="007154F7">
        <w:rPr>
          <w:rFonts w:ascii="Verdana" w:hAnsi="Verdana"/>
          <w:sz w:val="20"/>
          <w:szCs w:val="20"/>
        </w:rPr>
        <w:t>1.7.2006</w:t>
      </w:r>
      <w:proofErr w:type="gramEnd"/>
      <w:r w:rsidRPr="007154F7">
        <w:rPr>
          <w:rFonts w:ascii="Verdana" w:hAnsi="Verdana"/>
          <w:sz w:val="20"/>
          <w:szCs w:val="20"/>
        </w:rPr>
        <w:t xml:space="preserve">. Dlužná částka byla vymáhána exekutorem, ale dosud nebylo nic vymoženo. Dne 16.12.2019 bylo exekutorem navrženo zastavení exekuce dle § 268 </w:t>
      </w:r>
      <w:proofErr w:type="gramStart"/>
      <w:r w:rsidRPr="007154F7">
        <w:rPr>
          <w:rFonts w:ascii="Verdana" w:hAnsi="Verdana"/>
          <w:sz w:val="20"/>
          <w:szCs w:val="20"/>
        </w:rPr>
        <w:t>odst.1 písm.</w:t>
      </w:r>
      <w:proofErr w:type="gramEnd"/>
      <w:r w:rsidRPr="007154F7">
        <w:rPr>
          <w:rFonts w:ascii="Verdana" w:hAnsi="Verdana"/>
          <w:sz w:val="20"/>
          <w:szCs w:val="20"/>
        </w:rPr>
        <w:t xml:space="preserve"> e) občanského trestního řádu - průběh výkonu rozhodnutí ukazuje, že výtěžek, kterého jím bude dosaženo, nepostačí ani ke krytí jeho nákladů. Exekutor prověřil veškeré dostupné evidence majetku, dle údajů z katastru nemovitostí nevlastní nemovitosti a rovněž nebyly dohledány žádné postižitelné movité věci. Dle centrální evidence exekucí je proti dlužníku vedeno několik neúspěšných exekucí,  čímž je vedení exekuce neúčelné a nehospodárné.</w:t>
      </w:r>
    </w:p>
    <w:p w:rsidR="004B6D91" w:rsidRPr="007154F7" w:rsidRDefault="004B6D91" w:rsidP="007154F7">
      <w:pPr>
        <w:spacing w:after="0"/>
        <w:jc w:val="both"/>
        <w:rPr>
          <w:rFonts w:ascii="Verdana" w:hAnsi="Verdana"/>
          <w:sz w:val="20"/>
          <w:szCs w:val="20"/>
        </w:rPr>
      </w:pPr>
      <w:r w:rsidRPr="007154F7">
        <w:rPr>
          <w:rFonts w:ascii="Verdana" w:hAnsi="Verdana"/>
          <w:sz w:val="20"/>
          <w:szCs w:val="20"/>
        </w:rPr>
        <w:t>Na základě výše uvedeného navrhuje odbor správy majetku pohledávku ve výši 22 573,00 Kč odepsat.</w:t>
      </w:r>
    </w:p>
    <w:p w:rsidR="004B6D91" w:rsidRPr="007154F7" w:rsidRDefault="004B6D91" w:rsidP="007154F7">
      <w:pPr>
        <w:pStyle w:val="Zhlav"/>
        <w:shd w:val="clear" w:color="auto" w:fill="DBE5F1" w:themeFill="accent1" w:themeFillTint="33"/>
        <w:spacing w:line="276" w:lineRule="auto"/>
        <w:jc w:val="both"/>
        <w:rPr>
          <w:rFonts w:ascii="Verdana" w:hAnsi="Verdana"/>
          <w:sz w:val="20"/>
          <w:szCs w:val="20"/>
        </w:rPr>
      </w:pPr>
      <w:r w:rsidRPr="007154F7">
        <w:rPr>
          <w:rFonts w:ascii="Verdana" w:hAnsi="Verdana"/>
          <w:sz w:val="20"/>
          <w:szCs w:val="20"/>
        </w:rPr>
        <w:t>Stanovisko Odpisové komise:</w:t>
      </w:r>
    </w:p>
    <w:p w:rsidR="004B6D91" w:rsidRPr="007154F7" w:rsidRDefault="004B6D91" w:rsidP="007154F7">
      <w:pPr>
        <w:pStyle w:val="Zhlav"/>
        <w:shd w:val="clear" w:color="auto" w:fill="FFFFFF"/>
        <w:spacing w:line="276" w:lineRule="auto"/>
        <w:jc w:val="both"/>
        <w:rPr>
          <w:rFonts w:ascii="Verdana" w:hAnsi="Verdana"/>
          <w:b/>
          <w:sz w:val="20"/>
          <w:szCs w:val="20"/>
        </w:rPr>
      </w:pPr>
      <w:r w:rsidRPr="007154F7">
        <w:rPr>
          <w:rFonts w:ascii="Verdana" w:hAnsi="Verdana"/>
          <w:sz w:val="20"/>
          <w:szCs w:val="20"/>
        </w:rPr>
        <w:t xml:space="preserve">Komise prostudovala odůvodnění všech 17-ti výše uvedených případů a konstatuje, že všechny případy jsou si dost podobné. Jde o pohledávky staré někdy i více než 20 let, u </w:t>
      </w:r>
      <w:r w:rsidRPr="007154F7">
        <w:rPr>
          <w:rFonts w:ascii="Verdana" w:hAnsi="Verdana"/>
          <w:sz w:val="20"/>
          <w:szCs w:val="20"/>
        </w:rPr>
        <w:lastRenderedPageBreak/>
        <w:t xml:space="preserve">kterých byly již vyčerpány všechny možnosti jejich vydobytí, bohužel marně. U všech pohledávek je uvedeno, že dosavadní průběh výkonu exekučního rozhodnutí ukazuje, že výtěžek, kterého jím může být dosaženo, nepostačí ani ke krytí nákladů tohoto řízení. Dále je uvedeno, že exekutor prověřil veškeré dostupné evidence majetku, dlužníci - dle údajů z katastru nemovitostí - nevlastní nemovitosti a rovněž nebyly dohledány žádné postižitelné movité věci. Dle centrální evidence exekucí je minimálně proti 13-ti dlužníkům vedeno více neúspěšných exekucí, v některých případech až 20! Je tedy evidentní, že další pokračování v exekučním řízení je neúčelné a nehospodárné. S přihlédnutím k této skutečnosti lze naopak konstatovat, že účelné a hospodárné je tyto případy co nejdříve ukončit jejich odpisem a nezvyšovat tak další nevymahatelné náklady. </w:t>
      </w:r>
      <w:r w:rsidRPr="007154F7">
        <w:rPr>
          <w:rFonts w:ascii="Verdana" w:hAnsi="Verdana"/>
          <w:b/>
          <w:sz w:val="20"/>
          <w:szCs w:val="20"/>
        </w:rPr>
        <w:t>Na základě uvedených faktů doporučuje Zastupitelstvu města schválit odpis těchto pohledávek.</w:t>
      </w:r>
    </w:p>
    <w:p w:rsidR="004B6D91" w:rsidRPr="007154F7" w:rsidRDefault="004B6D91" w:rsidP="007154F7">
      <w:pPr>
        <w:pStyle w:val="Zhlav"/>
        <w:shd w:val="clear" w:color="auto" w:fill="FFFFFF"/>
        <w:spacing w:line="276" w:lineRule="auto"/>
        <w:jc w:val="both"/>
        <w:rPr>
          <w:rFonts w:ascii="Verdana" w:hAnsi="Verdana"/>
          <w:sz w:val="20"/>
          <w:szCs w:val="20"/>
        </w:rPr>
      </w:pPr>
    </w:p>
    <w:p w:rsidR="004B6D91" w:rsidRPr="007154F7" w:rsidRDefault="004B6D91" w:rsidP="007154F7">
      <w:pPr>
        <w:tabs>
          <w:tab w:val="decimal" w:leader="dot" w:pos="6663"/>
        </w:tabs>
        <w:spacing w:after="0"/>
        <w:jc w:val="both"/>
        <w:rPr>
          <w:rFonts w:ascii="Verdana" w:hAnsi="Verdana"/>
          <w:sz w:val="20"/>
          <w:szCs w:val="20"/>
        </w:rPr>
      </w:pPr>
      <w:r w:rsidRPr="007154F7">
        <w:rPr>
          <w:rFonts w:ascii="Verdana" w:hAnsi="Verdana"/>
          <w:sz w:val="20"/>
          <w:szCs w:val="20"/>
        </w:rPr>
        <w:t>Zapsala: Ing. Monika Bulánková</w:t>
      </w:r>
    </w:p>
    <w:p w:rsidR="004B6D91" w:rsidRPr="007154F7" w:rsidRDefault="004B6D91" w:rsidP="007154F7">
      <w:pPr>
        <w:tabs>
          <w:tab w:val="decimal" w:leader="dot" w:pos="6663"/>
        </w:tabs>
        <w:spacing w:after="0"/>
        <w:jc w:val="both"/>
        <w:rPr>
          <w:rFonts w:ascii="Verdana" w:hAnsi="Verdana"/>
          <w:sz w:val="20"/>
          <w:szCs w:val="20"/>
        </w:rPr>
      </w:pPr>
      <w:r w:rsidRPr="007154F7">
        <w:rPr>
          <w:rFonts w:ascii="Verdana" w:hAnsi="Verdana"/>
          <w:sz w:val="20"/>
          <w:szCs w:val="20"/>
        </w:rPr>
        <w:t>Ověřil: Tomáš Hobl</w:t>
      </w:r>
    </w:p>
    <w:p w:rsidR="004B6D91" w:rsidRPr="007154F7" w:rsidRDefault="004B6D91" w:rsidP="007154F7">
      <w:pPr>
        <w:pStyle w:val="Zhlav"/>
        <w:shd w:val="clear" w:color="auto" w:fill="FFFFFF"/>
        <w:spacing w:line="276" w:lineRule="auto"/>
        <w:jc w:val="both"/>
        <w:rPr>
          <w:rFonts w:ascii="Verdana" w:hAnsi="Verdana"/>
          <w:b/>
          <w:sz w:val="20"/>
          <w:szCs w:val="20"/>
        </w:rPr>
      </w:pPr>
    </w:p>
    <w:p w:rsidR="004B6D91" w:rsidRPr="007154F7" w:rsidRDefault="004B6D91" w:rsidP="007154F7">
      <w:pPr>
        <w:spacing w:after="0"/>
        <w:jc w:val="both"/>
        <w:outlineLvl w:val="0"/>
        <w:rPr>
          <w:rFonts w:ascii="Verdana" w:hAnsi="Verdana"/>
          <w:b/>
          <w:sz w:val="20"/>
          <w:szCs w:val="20"/>
        </w:rPr>
      </w:pPr>
      <w:r w:rsidRPr="007154F7">
        <w:rPr>
          <w:rFonts w:ascii="Verdana" w:hAnsi="Verdana"/>
          <w:b/>
          <w:sz w:val="20"/>
          <w:szCs w:val="20"/>
        </w:rPr>
        <w:t>2/05 Zápis z jednání Finančního výboru</w:t>
      </w:r>
    </w:p>
    <w:p w:rsidR="004B6D91" w:rsidRPr="007154F7" w:rsidRDefault="004B6D91" w:rsidP="007154F7">
      <w:pPr>
        <w:pStyle w:val="Zhlav"/>
        <w:spacing w:line="276" w:lineRule="auto"/>
        <w:jc w:val="both"/>
        <w:rPr>
          <w:rFonts w:ascii="Verdana" w:hAnsi="Verdana"/>
          <w:b/>
          <w:sz w:val="20"/>
          <w:szCs w:val="20"/>
        </w:rPr>
      </w:pPr>
      <w:r w:rsidRPr="007154F7">
        <w:rPr>
          <w:rFonts w:ascii="Verdana" w:hAnsi="Verdana"/>
          <w:b/>
          <w:sz w:val="20"/>
          <w:szCs w:val="20"/>
        </w:rPr>
        <w:t>Zápis z jednání Finančního výboru</w:t>
      </w:r>
    </w:p>
    <w:tbl>
      <w:tblPr>
        <w:tblW w:w="9427" w:type="dxa"/>
        <w:tblInd w:w="-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55" w:type="dxa"/>
          <w:right w:w="70" w:type="dxa"/>
        </w:tblCellMar>
        <w:tblLook w:val="04A0" w:firstRow="1" w:lastRow="0" w:firstColumn="1" w:lastColumn="0" w:noHBand="0" w:noVBand="1"/>
      </w:tblPr>
      <w:tblGrid>
        <w:gridCol w:w="1767"/>
        <w:gridCol w:w="7660"/>
      </w:tblGrid>
      <w:tr w:rsidR="007154F7" w:rsidRPr="007154F7" w:rsidTr="007154F7">
        <w:trPr>
          <w:trHeight w:val="302"/>
        </w:trPr>
        <w:tc>
          <w:tcPr>
            <w:tcW w:w="1767" w:type="dxa"/>
            <w:tcBorders>
              <w:top w:val="single" w:sz="4" w:space="0" w:color="C0C0C0"/>
              <w:left w:val="single" w:sz="4" w:space="0" w:color="C0C0C0"/>
              <w:bottom w:val="single" w:sz="4" w:space="0" w:color="C0C0C0"/>
              <w:right w:val="single" w:sz="4" w:space="0" w:color="C0C0C0"/>
            </w:tcBorders>
            <w:shd w:val="clear" w:color="auto" w:fill="auto"/>
            <w:tcMar>
              <w:left w:w="55" w:type="dxa"/>
            </w:tcMar>
          </w:tcPr>
          <w:p w:rsidR="004B6D91" w:rsidRPr="007154F7" w:rsidRDefault="004B6D91" w:rsidP="007154F7">
            <w:pPr>
              <w:spacing w:after="0"/>
              <w:jc w:val="both"/>
              <w:rPr>
                <w:rFonts w:ascii="Verdana" w:hAnsi="Verdana"/>
                <w:sz w:val="20"/>
                <w:szCs w:val="20"/>
              </w:rPr>
            </w:pPr>
            <w:r w:rsidRPr="007154F7">
              <w:rPr>
                <w:rFonts w:ascii="Verdana" w:hAnsi="Verdana"/>
                <w:b/>
                <w:sz w:val="20"/>
                <w:szCs w:val="20"/>
              </w:rPr>
              <w:t>Číslo:</w:t>
            </w:r>
          </w:p>
        </w:tc>
        <w:tc>
          <w:tcPr>
            <w:tcW w:w="7660" w:type="dxa"/>
            <w:tcBorders>
              <w:top w:val="single" w:sz="4" w:space="0" w:color="C0C0C0"/>
              <w:left w:val="single" w:sz="4" w:space="0" w:color="C0C0C0"/>
              <w:bottom w:val="single" w:sz="4" w:space="0" w:color="C0C0C0"/>
              <w:right w:val="single" w:sz="4" w:space="0" w:color="C0C0C0"/>
            </w:tcBorders>
            <w:shd w:val="clear" w:color="auto" w:fill="auto"/>
            <w:tcMar>
              <w:left w:w="55" w:type="dxa"/>
            </w:tcMar>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2</w:t>
            </w:r>
          </w:p>
        </w:tc>
      </w:tr>
      <w:tr w:rsidR="007154F7" w:rsidRPr="007154F7" w:rsidTr="007154F7">
        <w:trPr>
          <w:trHeight w:val="145"/>
        </w:trPr>
        <w:tc>
          <w:tcPr>
            <w:tcW w:w="1767" w:type="dxa"/>
            <w:tcBorders>
              <w:top w:val="single" w:sz="4" w:space="0" w:color="C0C0C0"/>
              <w:left w:val="single" w:sz="4" w:space="0" w:color="C0C0C0"/>
              <w:bottom w:val="single" w:sz="4" w:space="0" w:color="C0C0C0"/>
              <w:right w:val="single" w:sz="4" w:space="0" w:color="C0C0C0"/>
            </w:tcBorders>
            <w:shd w:val="clear" w:color="auto" w:fill="auto"/>
            <w:tcMar>
              <w:left w:w="55" w:type="dxa"/>
            </w:tcMar>
          </w:tcPr>
          <w:p w:rsidR="004B6D91" w:rsidRPr="007154F7" w:rsidRDefault="004B6D91" w:rsidP="007154F7">
            <w:pPr>
              <w:spacing w:after="0"/>
              <w:jc w:val="both"/>
              <w:rPr>
                <w:rFonts w:ascii="Verdana" w:hAnsi="Verdana"/>
                <w:b/>
                <w:sz w:val="20"/>
                <w:szCs w:val="20"/>
              </w:rPr>
            </w:pPr>
            <w:r w:rsidRPr="007154F7">
              <w:rPr>
                <w:rFonts w:ascii="Verdana" w:hAnsi="Verdana"/>
                <w:b/>
                <w:sz w:val="20"/>
                <w:szCs w:val="20"/>
              </w:rPr>
              <w:t>Hodina:</w:t>
            </w:r>
          </w:p>
        </w:tc>
        <w:tc>
          <w:tcPr>
            <w:tcW w:w="7660" w:type="dxa"/>
            <w:tcBorders>
              <w:top w:val="single" w:sz="4" w:space="0" w:color="C0C0C0"/>
              <w:left w:val="single" w:sz="4" w:space="0" w:color="C0C0C0"/>
              <w:bottom w:val="single" w:sz="4" w:space="0" w:color="C0C0C0"/>
              <w:right w:val="single" w:sz="4" w:space="0" w:color="C0C0C0"/>
            </w:tcBorders>
            <w:shd w:val="clear" w:color="auto" w:fill="auto"/>
            <w:tcMar>
              <w:left w:w="55" w:type="dxa"/>
            </w:tcMar>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16:30</w:t>
            </w:r>
          </w:p>
        </w:tc>
      </w:tr>
      <w:tr w:rsidR="007154F7" w:rsidRPr="007154F7" w:rsidTr="007154F7">
        <w:trPr>
          <w:trHeight w:val="302"/>
        </w:trPr>
        <w:tc>
          <w:tcPr>
            <w:tcW w:w="1767" w:type="dxa"/>
            <w:tcBorders>
              <w:top w:val="single" w:sz="4" w:space="0" w:color="C0C0C0"/>
              <w:left w:val="single" w:sz="4" w:space="0" w:color="C0C0C0"/>
              <w:bottom w:val="single" w:sz="4" w:space="0" w:color="C0C0C0"/>
              <w:right w:val="single" w:sz="4" w:space="0" w:color="C0C0C0"/>
            </w:tcBorders>
            <w:shd w:val="clear" w:color="auto" w:fill="auto"/>
            <w:tcMar>
              <w:left w:w="55" w:type="dxa"/>
            </w:tcMar>
          </w:tcPr>
          <w:p w:rsidR="004B6D91" w:rsidRPr="007154F7" w:rsidRDefault="004B6D91" w:rsidP="007154F7">
            <w:pPr>
              <w:spacing w:after="0"/>
              <w:jc w:val="both"/>
              <w:rPr>
                <w:rFonts w:ascii="Verdana" w:hAnsi="Verdana"/>
                <w:sz w:val="20"/>
                <w:szCs w:val="20"/>
              </w:rPr>
            </w:pPr>
            <w:r w:rsidRPr="007154F7">
              <w:rPr>
                <w:rFonts w:ascii="Verdana" w:hAnsi="Verdana"/>
                <w:b/>
                <w:sz w:val="20"/>
                <w:szCs w:val="20"/>
              </w:rPr>
              <w:t>Datum:</w:t>
            </w:r>
          </w:p>
        </w:tc>
        <w:tc>
          <w:tcPr>
            <w:tcW w:w="7660" w:type="dxa"/>
            <w:tcBorders>
              <w:top w:val="single" w:sz="4" w:space="0" w:color="C0C0C0"/>
              <w:left w:val="single" w:sz="4" w:space="0" w:color="C0C0C0"/>
              <w:bottom w:val="single" w:sz="4" w:space="0" w:color="C0C0C0"/>
              <w:right w:val="single" w:sz="4" w:space="0" w:color="C0C0C0"/>
            </w:tcBorders>
            <w:shd w:val="clear" w:color="auto" w:fill="auto"/>
            <w:tcMar>
              <w:left w:w="55" w:type="dxa"/>
            </w:tcMar>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10. 3. 2020</w:t>
            </w:r>
          </w:p>
        </w:tc>
      </w:tr>
      <w:tr w:rsidR="007154F7" w:rsidRPr="007154F7" w:rsidTr="007154F7">
        <w:trPr>
          <w:trHeight w:val="287"/>
        </w:trPr>
        <w:tc>
          <w:tcPr>
            <w:tcW w:w="1767" w:type="dxa"/>
            <w:tcBorders>
              <w:top w:val="single" w:sz="4" w:space="0" w:color="C0C0C0"/>
              <w:left w:val="single" w:sz="4" w:space="0" w:color="C0C0C0"/>
              <w:bottom w:val="single" w:sz="4" w:space="0" w:color="C0C0C0"/>
              <w:right w:val="single" w:sz="4" w:space="0" w:color="C0C0C0"/>
            </w:tcBorders>
            <w:shd w:val="clear" w:color="auto" w:fill="auto"/>
            <w:tcMar>
              <w:left w:w="55" w:type="dxa"/>
            </w:tcMar>
          </w:tcPr>
          <w:p w:rsidR="004B6D91" w:rsidRPr="007154F7" w:rsidRDefault="004B6D91" w:rsidP="007154F7">
            <w:pPr>
              <w:spacing w:after="0"/>
              <w:jc w:val="both"/>
              <w:rPr>
                <w:rFonts w:ascii="Verdana" w:hAnsi="Verdana"/>
                <w:sz w:val="20"/>
                <w:szCs w:val="20"/>
              </w:rPr>
            </w:pPr>
            <w:r w:rsidRPr="007154F7">
              <w:rPr>
                <w:rFonts w:ascii="Verdana" w:hAnsi="Verdana"/>
                <w:b/>
                <w:sz w:val="20"/>
                <w:szCs w:val="20"/>
              </w:rPr>
              <w:t>Místo:</w:t>
            </w:r>
          </w:p>
        </w:tc>
        <w:tc>
          <w:tcPr>
            <w:tcW w:w="7660" w:type="dxa"/>
            <w:tcBorders>
              <w:top w:val="single" w:sz="4" w:space="0" w:color="C0C0C0"/>
              <w:left w:val="single" w:sz="4" w:space="0" w:color="C0C0C0"/>
              <w:bottom w:val="single" w:sz="4" w:space="0" w:color="C0C0C0"/>
              <w:right w:val="single" w:sz="4" w:space="0" w:color="C0C0C0"/>
            </w:tcBorders>
            <w:shd w:val="clear" w:color="auto" w:fill="auto"/>
            <w:tcMar>
              <w:left w:w="55" w:type="dxa"/>
            </w:tcMar>
          </w:tcPr>
          <w:p w:rsidR="004B6D91" w:rsidRPr="007154F7" w:rsidRDefault="004B6D91" w:rsidP="007154F7">
            <w:pPr>
              <w:spacing w:after="0"/>
              <w:jc w:val="both"/>
              <w:rPr>
                <w:rFonts w:ascii="Verdana" w:hAnsi="Verdana"/>
                <w:sz w:val="20"/>
                <w:szCs w:val="20"/>
              </w:rPr>
            </w:pPr>
            <w:r w:rsidRPr="007154F7">
              <w:rPr>
                <w:rFonts w:ascii="Verdana" w:hAnsi="Verdana"/>
                <w:sz w:val="20"/>
                <w:szCs w:val="20"/>
              </w:rPr>
              <w:t>Restaurace U Varhanáře</w:t>
            </w:r>
          </w:p>
        </w:tc>
      </w:tr>
      <w:tr w:rsidR="007154F7" w:rsidRPr="007154F7" w:rsidTr="007154F7">
        <w:trPr>
          <w:trHeight w:val="341"/>
        </w:trPr>
        <w:tc>
          <w:tcPr>
            <w:tcW w:w="1767" w:type="dxa"/>
            <w:tcBorders>
              <w:top w:val="single" w:sz="4" w:space="0" w:color="C0C0C0"/>
              <w:left w:val="single" w:sz="4" w:space="0" w:color="C0C0C0"/>
              <w:bottom w:val="single" w:sz="4" w:space="0" w:color="C0C0C0"/>
              <w:right w:val="single" w:sz="4" w:space="0" w:color="C0C0C0"/>
            </w:tcBorders>
            <w:shd w:val="clear" w:color="auto" w:fill="auto"/>
            <w:tcMar>
              <w:left w:w="55" w:type="dxa"/>
            </w:tcMar>
          </w:tcPr>
          <w:p w:rsidR="004B6D91" w:rsidRPr="007154F7" w:rsidRDefault="004B6D91" w:rsidP="007154F7">
            <w:pPr>
              <w:pStyle w:val="Zhlav"/>
              <w:spacing w:line="276" w:lineRule="auto"/>
              <w:jc w:val="both"/>
              <w:rPr>
                <w:rFonts w:ascii="Verdana" w:hAnsi="Verdana"/>
                <w:b/>
                <w:sz w:val="20"/>
                <w:szCs w:val="20"/>
              </w:rPr>
            </w:pPr>
            <w:r w:rsidRPr="007154F7">
              <w:rPr>
                <w:rFonts w:ascii="Verdana" w:hAnsi="Verdana"/>
                <w:b/>
                <w:sz w:val="20"/>
                <w:szCs w:val="20"/>
              </w:rPr>
              <w:t>Přítomni za FV:</w:t>
            </w:r>
          </w:p>
        </w:tc>
        <w:tc>
          <w:tcPr>
            <w:tcW w:w="7660" w:type="dxa"/>
            <w:tcBorders>
              <w:top w:val="single" w:sz="4" w:space="0" w:color="C0C0C0"/>
              <w:left w:val="single" w:sz="4" w:space="0" w:color="C0C0C0"/>
              <w:bottom w:val="single" w:sz="4" w:space="0" w:color="C0C0C0"/>
              <w:right w:val="single" w:sz="4" w:space="0" w:color="C0C0C0"/>
            </w:tcBorders>
            <w:shd w:val="clear" w:color="auto" w:fill="auto"/>
            <w:tcMar>
              <w:left w:w="55" w:type="dxa"/>
            </w:tcMar>
          </w:tcPr>
          <w:p w:rsidR="004B6D91" w:rsidRPr="007154F7" w:rsidRDefault="004B6D91" w:rsidP="007154F7">
            <w:pPr>
              <w:pStyle w:val="Zhlav"/>
              <w:spacing w:line="276" w:lineRule="auto"/>
              <w:jc w:val="both"/>
              <w:rPr>
                <w:rFonts w:ascii="Verdana" w:hAnsi="Verdana"/>
                <w:sz w:val="20"/>
                <w:szCs w:val="20"/>
              </w:rPr>
            </w:pPr>
            <w:r w:rsidRPr="007154F7">
              <w:rPr>
                <w:rFonts w:ascii="Verdana" w:hAnsi="Verdana"/>
                <w:sz w:val="20"/>
                <w:szCs w:val="20"/>
              </w:rPr>
              <w:t xml:space="preserve">Ing. Zdeněk Jirásek; JUDr. Lubomír </w:t>
            </w:r>
            <w:proofErr w:type="spellStart"/>
            <w:r w:rsidRPr="007154F7">
              <w:rPr>
                <w:rFonts w:ascii="Verdana" w:hAnsi="Verdana"/>
                <w:sz w:val="20"/>
                <w:szCs w:val="20"/>
              </w:rPr>
              <w:t>Talanda</w:t>
            </w:r>
            <w:proofErr w:type="spellEnd"/>
            <w:r w:rsidRPr="007154F7">
              <w:rPr>
                <w:rFonts w:ascii="Verdana" w:hAnsi="Verdana"/>
                <w:sz w:val="20"/>
                <w:szCs w:val="20"/>
              </w:rPr>
              <w:t xml:space="preserve">; Ing. Tomáš </w:t>
            </w:r>
            <w:proofErr w:type="spellStart"/>
            <w:r w:rsidRPr="007154F7">
              <w:rPr>
                <w:rFonts w:ascii="Verdana" w:hAnsi="Verdana"/>
                <w:sz w:val="20"/>
                <w:szCs w:val="20"/>
              </w:rPr>
              <w:t>Pilc</w:t>
            </w:r>
            <w:proofErr w:type="spellEnd"/>
            <w:r w:rsidRPr="007154F7">
              <w:rPr>
                <w:rFonts w:ascii="Verdana" w:hAnsi="Verdana"/>
                <w:sz w:val="20"/>
                <w:szCs w:val="20"/>
              </w:rPr>
              <w:t xml:space="preserve">; Ivo Šanc, </w:t>
            </w:r>
            <w:proofErr w:type="spellStart"/>
            <w:r w:rsidRPr="007154F7">
              <w:rPr>
                <w:rFonts w:ascii="Verdana" w:hAnsi="Verdana"/>
                <w:sz w:val="20"/>
                <w:szCs w:val="20"/>
              </w:rPr>
              <w:t>CSc</w:t>
            </w:r>
            <w:proofErr w:type="spellEnd"/>
          </w:p>
        </w:tc>
      </w:tr>
      <w:tr w:rsidR="007154F7" w:rsidRPr="007154F7" w:rsidTr="007154F7">
        <w:trPr>
          <w:trHeight w:val="288"/>
        </w:trPr>
        <w:tc>
          <w:tcPr>
            <w:tcW w:w="1767" w:type="dxa"/>
            <w:tcBorders>
              <w:top w:val="single" w:sz="4" w:space="0" w:color="C0C0C0"/>
              <w:left w:val="single" w:sz="4" w:space="0" w:color="C0C0C0"/>
              <w:bottom w:val="single" w:sz="4" w:space="0" w:color="C0C0C0"/>
              <w:right w:val="single" w:sz="4" w:space="0" w:color="C0C0C0"/>
            </w:tcBorders>
            <w:shd w:val="clear" w:color="auto" w:fill="auto"/>
            <w:tcMar>
              <w:left w:w="55" w:type="dxa"/>
            </w:tcMar>
          </w:tcPr>
          <w:p w:rsidR="004B6D91" w:rsidRPr="007154F7" w:rsidRDefault="004B6D91" w:rsidP="007154F7">
            <w:pPr>
              <w:pStyle w:val="Zhlav"/>
              <w:spacing w:line="276" w:lineRule="auto"/>
              <w:jc w:val="both"/>
              <w:rPr>
                <w:rFonts w:ascii="Verdana" w:hAnsi="Verdana"/>
                <w:b/>
                <w:sz w:val="20"/>
                <w:szCs w:val="20"/>
              </w:rPr>
            </w:pPr>
            <w:r w:rsidRPr="007154F7">
              <w:rPr>
                <w:rFonts w:ascii="Verdana" w:hAnsi="Verdana"/>
                <w:b/>
                <w:sz w:val="20"/>
                <w:szCs w:val="20"/>
              </w:rPr>
              <w:t>za MÚ:</w:t>
            </w:r>
          </w:p>
        </w:tc>
        <w:tc>
          <w:tcPr>
            <w:tcW w:w="7660" w:type="dxa"/>
            <w:tcBorders>
              <w:top w:val="single" w:sz="4" w:space="0" w:color="C0C0C0"/>
              <w:left w:val="single" w:sz="4" w:space="0" w:color="C0C0C0"/>
              <w:bottom w:val="single" w:sz="4" w:space="0" w:color="C0C0C0"/>
              <w:right w:val="single" w:sz="4" w:space="0" w:color="C0C0C0"/>
            </w:tcBorders>
            <w:shd w:val="clear" w:color="auto" w:fill="auto"/>
            <w:tcMar>
              <w:left w:w="55" w:type="dxa"/>
            </w:tcMar>
          </w:tcPr>
          <w:p w:rsidR="004B6D91" w:rsidRPr="007154F7" w:rsidRDefault="004B6D91" w:rsidP="007154F7">
            <w:pPr>
              <w:pStyle w:val="Zhlav"/>
              <w:spacing w:line="276" w:lineRule="auto"/>
              <w:jc w:val="both"/>
              <w:rPr>
                <w:rFonts w:ascii="Verdana" w:hAnsi="Verdana"/>
                <w:sz w:val="20"/>
                <w:szCs w:val="20"/>
              </w:rPr>
            </w:pPr>
            <w:r w:rsidRPr="007154F7">
              <w:rPr>
                <w:rFonts w:ascii="Verdana" w:hAnsi="Verdana"/>
                <w:sz w:val="20"/>
                <w:szCs w:val="20"/>
              </w:rPr>
              <w:t>Ing. Monika Bulánková</w:t>
            </w:r>
          </w:p>
        </w:tc>
      </w:tr>
      <w:tr w:rsidR="007154F7" w:rsidRPr="007154F7" w:rsidTr="007154F7">
        <w:trPr>
          <w:trHeight w:val="288"/>
        </w:trPr>
        <w:tc>
          <w:tcPr>
            <w:tcW w:w="1767" w:type="dxa"/>
            <w:tcBorders>
              <w:left w:val="single" w:sz="4" w:space="0" w:color="C0C0C0"/>
              <w:bottom w:val="single" w:sz="4" w:space="0" w:color="C0C0C0"/>
              <w:right w:val="single" w:sz="4" w:space="0" w:color="C0C0C0"/>
            </w:tcBorders>
            <w:shd w:val="clear" w:color="auto" w:fill="auto"/>
            <w:tcMar>
              <w:left w:w="55" w:type="dxa"/>
            </w:tcMar>
          </w:tcPr>
          <w:p w:rsidR="004B6D91" w:rsidRPr="007154F7" w:rsidRDefault="004B6D91" w:rsidP="007154F7">
            <w:pPr>
              <w:pStyle w:val="Zhlav"/>
              <w:spacing w:line="276" w:lineRule="auto"/>
              <w:jc w:val="both"/>
              <w:rPr>
                <w:rFonts w:ascii="Verdana" w:hAnsi="Verdana"/>
                <w:sz w:val="20"/>
                <w:szCs w:val="20"/>
              </w:rPr>
            </w:pPr>
            <w:r w:rsidRPr="007154F7">
              <w:rPr>
                <w:rFonts w:ascii="Verdana" w:hAnsi="Verdana"/>
                <w:b/>
                <w:sz w:val="20"/>
                <w:szCs w:val="20"/>
              </w:rPr>
              <w:t>Hosté:</w:t>
            </w:r>
          </w:p>
        </w:tc>
        <w:tc>
          <w:tcPr>
            <w:tcW w:w="7660" w:type="dxa"/>
            <w:tcBorders>
              <w:left w:val="single" w:sz="4" w:space="0" w:color="C0C0C0"/>
              <w:bottom w:val="single" w:sz="4" w:space="0" w:color="C0C0C0"/>
              <w:right w:val="single" w:sz="4" w:space="0" w:color="C0C0C0"/>
            </w:tcBorders>
            <w:shd w:val="clear" w:color="auto" w:fill="auto"/>
            <w:tcMar>
              <w:left w:w="55" w:type="dxa"/>
            </w:tcMar>
          </w:tcPr>
          <w:p w:rsidR="004B6D91" w:rsidRPr="007154F7" w:rsidRDefault="004B6D91" w:rsidP="007154F7">
            <w:pPr>
              <w:pStyle w:val="Zhlav"/>
              <w:spacing w:line="276" w:lineRule="auto"/>
              <w:jc w:val="both"/>
              <w:rPr>
                <w:rFonts w:ascii="Verdana" w:hAnsi="Verdana"/>
                <w:sz w:val="20"/>
                <w:szCs w:val="20"/>
              </w:rPr>
            </w:pPr>
          </w:p>
        </w:tc>
      </w:tr>
      <w:tr w:rsidR="007154F7" w:rsidRPr="007154F7" w:rsidTr="007154F7">
        <w:trPr>
          <w:trHeight w:val="288"/>
        </w:trPr>
        <w:tc>
          <w:tcPr>
            <w:tcW w:w="1767" w:type="dxa"/>
            <w:tcBorders>
              <w:top w:val="single" w:sz="4" w:space="0" w:color="C0C0C0"/>
              <w:left w:val="single" w:sz="4" w:space="0" w:color="C0C0C0"/>
              <w:bottom w:val="single" w:sz="4" w:space="0" w:color="C0C0C0"/>
              <w:right w:val="single" w:sz="4" w:space="0" w:color="C0C0C0"/>
            </w:tcBorders>
            <w:shd w:val="clear" w:color="auto" w:fill="auto"/>
            <w:tcMar>
              <w:left w:w="55" w:type="dxa"/>
            </w:tcMar>
          </w:tcPr>
          <w:p w:rsidR="004B6D91" w:rsidRPr="007154F7" w:rsidRDefault="004B6D91" w:rsidP="007154F7">
            <w:pPr>
              <w:pStyle w:val="Zhlav"/>
              <w:spacing w:line="276" w:lineRule="auto"/>
              <w:jc w:val="both"/>
              <w:rPr>
                <w:rFonts w:ascii="Verdana" w:hAnsi="Verdana"/>
                <w:sz w:val="20"/>
                <w:szCs w:val="20"/>
              </w:rPr>
            </w:pPr>
            <w:r w:rsidRPr="007154F7">
              <w:rPr>
                <w:rFonts w:ascii="Verdana" w:hAnsi="Verdana"/>
                <w:b/>
                <w:sz w:val="20"/>
                <w:szCs w:val="20"/>
              </w:rPr>
              <w:t>Omluveni:</w:t>
            </w:r>
          </w:p>
        </w:tc>
        <w:tc>
          <w:tcPr>
            <w:tcW w:w="7660" w:type="dxa"/>
            <w:tcBorders>
              <w:top w:val="single" w:sz="4" w:space="0" w:color="C0C0C0"/>
              <w:left w:val="single" w:sz="4" w:space="0" w:color="C0C0C0"/>
              <w:bottom w:val="single" w:sz="4" w:space="0" w:color="C0C0C0"/>
              <w:right w:val="single" w:sz="4" w:space="0" w:color="C0C0C0"/>
            </w:tcBorders>
            <w:shd w:val="clear" w:color="auto" w:fill="auto"/>
            <w:tcMar>
              <w:left w:w="55" w:type="dxa"/>
            </w:tcMar>
          </w:tcPr>
          <w:p w:rsidR="004B6D91" w:rsidRPr="007154F7" w:rsidRDefault="004B6D91" w:rsidP="007154F7">
            <w:pPr>
              <w:pStyle w:val="Zhlav"/>
              <w:spacing w:line="276" w:lineRule="auto"/>
              <w:jc w:val="both"/>
              <w:rPr>
                <w:rFonts w:ascii="Verdana" w:hAnsi="Verdana"/>
                <w:sz w:val="20"/>
                <w:szCs w:val="20"/>
              </w:rPr>
            </w:pPr>
            <w:r w:rsidRPr="007154F7">
              <w:rPr>
                <w:rFonts w:ascii="Verdana" w:hAnsi="Verdana"/>
                <w:sz w:val="20"/>
                <w:szCs w:val="20"/>
              </w:rPr>
              <w:t xml:space="preserve">Mgr. Jan Klán; RNDr.; Ing. Milan Nedvěd; RNDr. Robert Otruba; Ing. Kateřina </w:t>
            </w:r>
            <w:proofErr w:type="spellStart"/>
            <w:r w:rsidRPr="007154F7">
              <w:rPr>
                <w:rFonts w:ascii="Verdana" w:hAnsi="Verdana"/>
                <w:sz w:val="20"/>
                <w:szCs w:val="20"/>
              </w:rPr>
              <w:t>Daczická</w:t>
            </w:r>
            <w:proofErr w:type="spellEnd"/>
            <w:r w:rsidRPr="007154F7">
              <w:rPr>
                <w:rFonts w:ascii="Verdana" w:hAnsi="Verdana"/>
                <w:sz w:val="20"/>
                <w:szCs w:val="20"/>
              </w:rPr>
              <w:t xml:space="preserve">; Ing. Robin Jiráň; </w:t>
            </w:r>
          </w:p>
        </w:tc>
      </w:tr>
    </w:tbl>
    <w:p w:rsidR="004B6D91" w:rsidRPr="007154F7" w:rsidRDefault="004B6D91" w:rsidP="007154F7">
      <w:pPr>
        <w:pStyle w:val="Zhlav"/>
        <w:shd w:val="clear" w:color="auto" w:fill="FFFFFF"/>
        <w:spacing w:line="276" w:lineRule="auto"/>
        <w:jc w:val="both"/>
        <w:rPr>
          <w:rFonts w:ascii="Verdana" w:hAnsi="Verdana"/>
          <w:b/>
          <w:sz w:val="20"/>
          <w:szCs w:val="20"/>
        </w:rPr>
      </w:pPr>
    </w:p>
    <w:p w:rsidR="004B6D91" w:rsidRPr="007154F7" w:rsidRDefault="004B6D91" w:rsidP="007154F7">
      <w:pPr>
        <w:pStyle w:val="Zhlav"/>
        <w:shd w:val="clear" w:color="auto" w:fill="FFFFFF"/>
        <w:spacing w:line="276" w:lineRule="auto"/>
        <w:jc w:val="both"/>
        <w:rPr>
          <w:rFonts w:ascii="Verdana" w:hAnsi="Verdana"/>
          <w:b/>
          <w:sz w:val="20"/>
          <w:szCs w:val="20"/>
        </w:rPr>
      </w:pPr>
      <w:r w:rsidRPr="007154F7">
        <w:rPr>
          <w:rFonts w:ascii="Verdana" w:hAnsi="Verdana"/>
          <w:b/>
          <w:sz w:val="20"/>
          <w:szCs w:val="20"/>
        </w:rPr>
        <w:t>Program jednání:</w:t>
      </w:r>
    </w:p>
    <w:p w:rsidR="004B6D91" w:rsidRPr="007154F7" w:rsidRDefault="004B6D91" w:rsidP="007154F7">
      <w:pPr>
        <w:pStyle w:val="Zhlav"/>
        <w:numPr>
          <w:ilvl w:val="0"/>
          <w:numId w:val="2"/>
        </w:numPr>
        <w:shd w:val="clear" w:color="auto" w:fill="FFFFFF"/>
        <w:tabs>
          <w:tab w:val="left" w:pos="284"/>
        </w:tabs>
        <w:suppressAutoHyphens/>
        <w:spacing w:line="276" w:lineRule="auto"/>
        <w:ind w:left="0" w:firstLine="0"/>
        <w:jc w:val="both"/>
        <w:rPr>
          <w:rFonts w:ascii="Verdana" w:hAnsi="Verdana"/>
          <w:b/>
          <w:sz w:val="20"/>
          <w:szCs w:val="20"/>
        </w:rPr>
      </w:pPr>
      <w:r w:rsidRPr="007154F7">
        <w:rPr>
          <w:rFonts w:ascii="Verdana" w:hAnsi="Verdana"/>
          <w:b/>
          <w:sz w:val="20"/>
          <w:szCs w:val="20"/>
        </w:rPr>
        <w:t>Zahájení</w:t>
      </w:r>
    </w:p>
    <w:p w:rsidR="004B6D91" w:rsidRPr="007154F7" w:rsidRDefault="004B6D91" w:rsidP="007154F7">
      <w:pPr>
        <w:pStyle w:val="Zhlav"/>
        <w:numPr>
          <w:ilvl w:val="0"/>
          <w:numId w:val="2"/>
        </w:numPr>
        <w:shd w:val="clear" w:color="auto" w:fill="FFFFFF"/>
        <w:tabs>
          <w:tab w:val="left" w:pos="284"/>
        </w:tabs>
        <w:suppressAutoHyphens/>
        <w:spacing w:line="276" w:lineRule="auto"/>
        <w:ind w:left="0" w:firstLine="0"/>
        <w:jc w:val="both"/>
        <w:rPr>
          <w:rFonts w:ascii="Verdana" w:hAnsi="Verdana"/>
          <w:b/>
          <w:sz w:val="20"/>
          <w:szCs w:val="20"/>
        </w:rPr>
      </w:pPr>
      <w:r w:rsidRPr="007154F7">
        <w:rPr>
          <w:rFonts w:ascii="Verdana" w:hAnsi="Verdana"/>
          <w:b/>
          <w:sz w:val="20"/>
          <w:szCs w:val="20"/>
        </w:rPr>
        <w:t>Projednání rozpočtového opatření, které bude projednáváno v ZM dne 17. 3. 2020</w:t>
      </w:r>
    </w:p>
    <w:p w:rsidR="004B6D91" w:rsidRPr="007154F7" w:rsidRDefault="004B6D91" w:rsidP="007154F7">
      <w:pPr>
        <w:pStyle w:val="Zhlav"/>
        <w:numPr>
          <w:ilvl w:val="0"/>
          <w:numId w:val="2"/>
        </w:numPr>
        <w:shd w:val="clear" w:color="auto" w:fill="FFFFFF"/>
        <w:tabs>
          <w:tab w:val="left" w:pos="284"/>
        </w:tabs>
        <w:suppressAutoHyphens/>
        <w:spacing w:line="276" w:lineRule="auto"/>
        <w:ind w:left="0" w:firstLine="0"/>
        <w:jc w:val="both"/>
        <w:rPr>
          <w:rFonts w:ascii="Verdana" w:hAnsi="Verdana"/>
          <w:b/>
          <w:sz w:val="20"/>
          <w:szCs w:val="20"/>
        </w:rPr>
      </w:pPr>
      <w:r w:rsidRPr="007154F7">
        <w:rPr>
          <w:rFonts w:ascii="Verdana" w:hAnsi="Verdana"/>
          <w:b/>
          <w:sz w:val="20"/>
          <w:szCs w:val="20"/>
        </w:rPr>
        <w:t>Různé</w:t>
      </w:r>
    </w:p>
    <w:p w:rsidR="004B6D91" w:rsidRPr="007154F7" w:rsidRDefault="004B6D91" w:rsidP="007154F7">
      <w:pPr>
        <w:pStyle w:val="Zhlav"/>
        <w:shd w:val="clear" w:color="auto" w:fill="FFFFFF"/>
        <w:spacing w:line="276" w:lineRule="auto"/>
        <w:jc w:val="both"/>
        <w:rPr>
          <w:rFonts w:ascii="Verdana" w:hAnsi="Verdana"/>
          <w:b/>
          <w:sz w:val="20"/>
          <w:szCs w:val="20"/>
        </w:rPr>
      </w:pPr>
      <w:r w:rsidRPr="007154F7">
        <w:rPr>
          <w:rFonts w:ascii="Verdana" w:hAnsi="Verdana"/>
          <w:b/>
          <w:sz w:val="20"/>
          <w:szCs w:val="20"/>
        </w:rPr>
        <w:t>Add1</w:t>
      </w:r>
    </w:p>
    <w:p w:rsidR="004B6D91" w:rsidRPr="007154F7" w:rsidRDefault="004B6D91" w:rsidP="007154F7">
      <w:pPr>
        <w:pStyle w:val="Zhlav"/>
        <w:shd w:val="clear" w:color="auto" w:fill="FFFFFF"/>
        <w:spacing w:line="276" w:lineRule="auto"/>
        <w:jc w:val="both"/>
        <w:rPr>
          <w:rFonts w:ascii="Verdana" w:hAnsi="Verdana"/>
          <w:sz w:val="20"/>
          <w:szCs w:val="20"/>
        </w:rPr>
      </w:pPr>
      <w:r w:rsidRPr="007154F7">
        <w:rPr>
          <w:rFonts w:ascii="Verdana" w:hAnsi="Verdana"/>
          <w:sz w:val="20"/>
          <w:szCs w:val="20"/>
        </w:rPr>
        <w:t xml:space="preserve">Předseda FV zahájil řádné zasedání FV. Připomenul, že z minulého zápisu vzešly pro tajemníka úkoly v bodech 1), 3) a 4) s termínem splnění do 31. 3. 2020 a bod 2) do 30. 6. 2020. Dále bylo zmíněno, že Ing. </w:t>
      </w:r>
      <w:proofErr w:type="spellStart"/>
      <w:r w:rsidRPr="007154F7">
        <w:rPr>
          <w:rFonts w:ascii="Verdana" w:hAnsi="Verdana"/>
          <w:sz w:val="20"/>
          <w:szCs w:val="20"/>
        </w:rPr>
        <w:t>Daczická</w:t>
      </w:r>
      <w:proofErr w:type="spellEnd"/>
      <w:r w:rsidRPr="007154F7">
        <w:rPr>
          <w:rFonts w:ascii="Verdana" w:hAnsi="Verdana"/>
          <w:sz w:val="20"/>
          <w:szCs w:val="20"/>
        </w:rPr>
        <w:t xml:space="preserve"> měla do konce ledna předložit návrh zprávy ohledně probíhající kontroly na Technických službách, ale bohužel toto splněno nebylo.</w:t>
      </w:r>
    </w:p>
    <w:p w:rsidR="004B6D91" w:rsidRPr="007154F7" w:rsidRDefault="004B6D91" w:rsidP="007154F7">
      <w:pPr>
        <w:pStyle w:val="Zhlav"/>
        <w:shd w:val="clear" w:color="auto" w:fill="FFFFFF"/>
        <w:spacing w:line="276" w:lineRule="auto"/>
        <w:jc w:val="both"/>
        <w:rPr>
          <w:rFonts w:ascii="Verdana" w:hAnsi="Verdana"/>
          <w:b/>
          <w:sz w:val="20"/>
          <w:szCs w:val="20"/>
        </w:rPr>
      </w:pPr>
      <w:r w:rsidRPr="007154F7">
        <w:rPr>
          <w:rFonts w:ascii="Verdana" w:hAnsi="Verdana"/>
          <w:b/>
          <w:sz w:val="20"/>
          <w:szCs w:val="20"/>
        </w:rPr>
        <w:t>Add2</w:t>
      </w:r>
    </w:p>
    <w:p w:rsidR="004B6D91" w:rsidRPr="007154F7" w:rsidRDefault="004B6D91" w:rsidP="007154F7">
      <w:pPr>
        <w:pStyle w:val="Zhlav"/>
        <w:shd w:val="clear" w:color="auto" w:fill="FFFFFF"/>
        <w:spacing w:line="276" w:lineRule="auto"/>
        <w:jc w:val="both"/>
        <w:rPr>
          <w:rFonts w:ascii="Verdana" w:hAnsi="Verdana"/>
          <w:sz w:val="20"/>
          <w:szCs w:val="20"/>
        </w:rPr>
      </w:pPr>
      <w:r w:rsidRPr="007154F7">
        <w:rPr>
          <w:rFonts w:ascii="Verdana" w:hAnsi="Verdana"/>
          <w:sz w:val="20"/>
          <w:szCs w:val="20"/>
        </w:rPr>
        <w:t>Byly předloženy tyto materiály:</w:t>
      </w:r>
    </w:p>
    <w:p w:rsidR="004B6D91" w:rsidRPr="007154F7" w:rsidRDefault="004B6D91" w:rsidP="007154F7">
      <w:pPr>
        <w:pStyle w:val="Zhlav"/>
        <w:shd w:val="clear" w:color="auto" w:fill="EEECE1" w:themeFill="background2"/>
        <w:spacing w:line="276" w:lineRule="auto"/>
        <w:jc w:val="both"/>
        <w:rPr>
          <w:rFonts w:ascii="Verdana" w:hAnsi="Verdana"/>
          <w:sz w:val="20"/>
          <w:szCs w:val="20"/>
        </w:rPr>
      </w:pPr>
      <w:r w:rsidRPr="007154F7">
        <w:rPr>
          <w:rFonts w:ascii="Verdana" w:hAnsi="Verdana"/>
          <w:sz w:val="20"/>
          <w:szCs w:val="20"/>
        </w:rPr>
        <w:t>1/06 Rozpočtové opatření KT č. 1-4</w:t>
      </w:r>
    </w:p>
    <w:p w:rsidR="004B6D91" w:rsidRPr="007154F7" w:rsidRDefault="004B6D91" w:rsidP="007154F7">
      <w:pPr>
        <w:pStyle w:val="Zhlav"/>
        <w:shd w:val="clear" w:color="auto" w:fill="FFFFFF"/>
        <w:spacing w:line="276" w:lineRule="auto"/>
        <w:jc w:val="both"/>
        <w:rPr>
          <w:rFonts w:ascii="Verdana" w:hAnsi="Verdana"/>
          <w:sz w:val="20"/>
          <w:szCs w:val="20"/>
        </w:rPr>
      </w:pPr>
      <w:r w:rsidRPr="007154F7">
        <w:rPr>
          <w:rFonts w:ascii="Verdana" w:hAnsi="Verdana"/>
          <w:sz w:val="20"/>
          <w:szCs w:val="20"/>
          <w:u w:val="single"/>
        </w:rPr>
        <w:t>Rozpočtové opatření KT č. 1</w:t>
      </w:r>
      <w:r w:rsidRPr="007154F7">
        <w:rPr>
          <w:rFonts w:ascii="Verdana" w:hAnsi="Verdana"/>
          <w:sz w:val="20"/>
          <w:szCs w:val="20"/>
        </w:rPr>
        <w:t xml:space="preserve">  – navýšení rozpočtu (§ 16 odst. 3 písm. b) z. </w:t>
      </w:r>
      <w:proofErr w:type="gramStart"/>
      <w:r w:rsidRPr="007154F7">
        <w:rPr>
          <w:rFonts w:ascii="Verdana" w:hAnsi="Verdana"/>
          <w:sz w:val="20"/>
          <w:szCs w:val="20"/>
        </w:rPr>
        <w:t>č.</w:t>
      </w:r>
      <w:proofErr w:type="gramEnd"/>
      <w:r w:rsidRPr="007154F7">
        <w:rPr>
          <w:rFonts w:ascii="Verdana" w:hAnsi="Verdana"/>
          <w:sz w:val="20"/>
          <w:szCs w:val="20"/>
        </w:rPr>
        <w:t xml:space="preserve"> 250/2000 Sb.) o částku 1.500.000 Kč</w:t>
      </w:r>
    </w:p>
    <w:p w:rsidR="004B6D91" w:rsidRPr="007154F7" w:rsidRDefault="004B6D91" w:rsidP="007154F7">
      <w:pPr>
        <w:pStyle w:val="Zhlav"/>
        <w:shd w:val="clear" w:color="auto" w:fill="FFFFFF"/>
        <w:spacing w:line="276" w:lineRule="auto"/>
        <w:jc w:val="both"/>
        <w:rPr>
          <w:rFonts w:ascii="Verdana" w:hAnsi="Verdana"/>
          <w:sz w:val="20"/>
          <w:szCs w:val="20"/>
        </w:rPr>
      </w:pPr>
      <w:r w:rsidRPr="007154F7">
        <w:rPr>
          <w:rFonts w:ascii="Verdana" w:hAnsi="Verdana"/>
          <w:sz w:val="20"/>
          <w:szCs w:val="20"/>
        </w:rPr>
        <w:t xml:space="preserve">Není dostatečně podrobná důvodová zpráva. Z předloženého textu plyne, že se bude nakupovat počítačová síť jen proto, aby nedošlo k výpadku na dva až tři dny, protože současné zařízení má doživotní záruku. Není napsáno, zda byl tento nákup konzultován s IT komisí. </w:t>
      </w:r>
    </w:p>
    <w:p w:rsidR="004B6D91" w:rsidRPr="007154F7" w:rsidRDefault="004B6D91" w:rsidP="007154F7">
      <w:pPr>
        <w:pStyle w:val="Zhlav"/>
        <w:shd w:val="clear" w:color="auto" w:fill="FFFFFF"/>
        <w:spacing w:line="276" w:lineRule="auto"/>
        <w:jc w:val="both"/>
        <w:rPr>
          <w:rFonts w:ascii="Verdana" w:hAnsi="Verdana"/>
          <w:i/>
          <w:iCs/>
          <w:sz w:val="20"/>
          <w:szCs w:val="20"/>
        </w:rPr>
      </w:pPr>
      <w:r w:rsidRPr="007154F7">
        <w:rPr>
          <w:rFonts w:ascii="Verdana" w:hAnsi="Verdana"/>
          <w:i/>
          <w:iCs/>
          <w:sz w:val="20"/>
          <w:szCs w:val="20"/>
        </w:rPr>
        <w:lastRenderedPageBreak/>
        <w:t xml:space="preserve">Dle sdělení vedoucího oddělení informatiky – byl tento záměr projednáván na IT komisi v souvislosti s výzvou </w:t>
      </w:r>
      <w:proofErr w:type="gramStart"/>
      <w:r w:rsidRPr="007154F7">
        <w:rPr>
          <w:rFonts w:ascii="Verdana" w:hAnsi="Verdana"/>
          <w:i/>
          <w:iCs/>
          <w:sz w:val="20"/>
          <w:szCs w:val="20"/>
        </w:rPr>
        <w:t>č.28</w:t>
      </w:r>
      <w:proofErr w:type="gramEnd"/>
      <w:r w:rsidRPr="007154F7">
        <w:rPr>
          <w:rFonts w:ascii="Verdana" w:hAnsi="Verdana"/>
          <w:i/>
          <w:iCs/>
          <w:sz w:val="20"/>
          <w:szCs w:val="20"/>
        </w:rPr>
        <w:t xml:space="preserve"> IROP dne 13. 9. 2016, viz příloha 1 (druhý zápis), kde tato položka byla. Dále je přiloženo usnesení Rady města příloha 2 bod  </w:t>
      </w:r>
      <w:r w:rsidRPr="007154F7">
        <w:rPr>
          <w:rFonts w:ascii="Verdana" w:hAnsi="Verdana"/>
          <w:bCs/>
          <w:i/>
          <w:iCs/>
          <w:sz w:val="20"/>
          <w:szCs w:val="20"/>
        </w:rPr>
        <w:t>8</w:t>
      </w:r>
      <w:r w:rsidRPr="007154F7">
        <w:rPr>
          <w:rFonts w:ascii="Verdana" w:hAnsi="Verdana"/>
          <w:b/>
          <w:bCs/>
          <w:i/>
          <w:iCs/>
          <w:sz w:val="20"/>
          <w:szCs w:val="20"/>
        </w:rPr>
        <w:t xml:space="preserve">. </w:t>
      </w:r>
      <w:r w:rsidRPr="007154F7">
        <w:rPr>
          <w:rFonts w:ascii="Verdana" w:hAnsi="Verdana"/>
          <w:bCs/>
          <w:i/>
          <w:iCs/>
          <w:sz w:val="20"/>
          <w:szCs w:val="20"/>
        </w:rPr>
        <w:t>Přechod na 10GB síť mezi budovami VD a RA</w:t>
      </w:r>
      <w:r w:rsidRPr="007154F7">
        <w:rPr>
          <w:rFonts w:ascii="Verdana" w:hAnsi="Verdana"/>
          <w:i/>
          <w:iCs/>
          <w:sz w:val="20"/>
          <w:szCs w:val="20"/>
        </w:rPr>
        <w:t xml:space="preserve">, cena vychází z ceny nabízené v roce 2017. </w:t>
      </w:r>
      <w:r w:rsidRPr="007154F7">
        <w:rPr>
          <w:rFonts w:ascii="Verdana" w:hAnsi="Verdana"/>
          <w:bCs/>
          <w:i/>
          <w:iCs/>
          <w:sz w:val="20"/>
          <w:szCs w:val="20"/>
        </w:rPr>
        <w:t xml:space="preserve">Nicméně z pohledu CRR to byl nakonec nezpůsobilý výdaj, proto se v rámci výzvy </w:t>
      </w:r>
      <w:proofErr w:type="gramStart"/>
      <w:r w:rsidRPr="007154F7">
        <w:rPr>
          <w:rFonts w:ascii="Verdana" w:hAnsi="Verdana"/>
          <w:bCs/>
          <w:i/>
          <w:iCs/>
          <w:sz w:val="20"/>
          <w:szCs w:val="20"/>
        </w:rPr>
        <w:t>č.28</w:t>
      </w:r>
      <w:proofErr w:type="gramEnd"/>
      <w:r w:rsidRPr="007154F7">
        <w:rPr>
          <w:rFonts w:ascii="Verdana" w:hAnsi="Verdana"/>
          <w:bCs/>
          <w:i/>
          <w:iCs/>
          <w:sz w:val="20"/>
          <w:szCs w:val="20"/>
        </w:rPr>
        <w:t xml:space="preserve"> IROP nerealizovalo</w:t>
      </w:r>
      <w:r w:rsidRPr="007154F7">
        <w:rPr>
          <w:rFonts w:ascii="Verdana" w:hAnsi="Verdana"/>
          <w:i/>
          <w:iCs/>
          <w:sz w:val="20"/>
          <w:szCs w:val="20"/>
        </w:rPr>
        <w:t xml:space="preserve">. </w:t>
      </w:r>
      <w:r w:rsidRPr="007154F7">
        <w:rPr>
          <w:rFonts w:ascii="Verdana" w:hAnsi="Verdana"/>
          <w:b/>
          <w:i/>
          <w:iCs/>
          <w:sz w:val="20"/>
          <w:szCs w:val="20"/>
        </w:rPr>
        <w:t>Výběrové řízení</w:t>
      </w:r>
      <w:r w:rsidRPr="007154F7">
        <w:rPr>
          <w:rFonts w:ascii="Verdana" w:hAnsi="Verdana"/>
          <w:i/>
          <w:iCs/>
          <w:sz w:val="20"/>
          <w:szCs w:val="20"/>
        </w:rPr>
        <w:t xml:space="preserve"> </w:t>
      </w:r>
      <w:r w:rsidRPr="007154F7">
        <w:rPr>
          <w:rFonts w:ascii="Verdana" w:hAnsi="Verdana"/>
          <w:b/>
          <w:i/>
          <w:iCs/>
          <w:sz w:val="20"/>
          <w:szCs w:val="20"/>
        </w:rPr>
        <w:t>bude realizováno až v případě, že bude odsouhlaseno finanční krytí akce</w:t>
      </w:r>
      <w:r w:rsidRPr="007154F7">
        <w:rPr>
          <w:rFonts w:ascii="Verdana" w:hAnsi="Verdana"/>
          <w:i/>
          <w:iCs/>
          <w:sz w:val="20"/>
          <w:szCs w:val="20"/>
        </w:rPr>
        <w:t xml:space="preserve">. </w:t>
      </w:r>
      <w:r w:rsidRPr="007154F7">
        <w:rPr>
          <w:rFonts w:ascii="Verdana" w:hAnsi="Verdana"/>
          <w:bCs/>
          <w:i/>
          <w:iCs/>
          <w:sz w:val="20"/>
          <w:szCs w:val="20"/>
        </w:rPr>
        <w:t>Zjišťoval jsem doživotní záruku z pohledu Hewlett Packard – ta je myšlena tak, že záruka je aktivní pouze následujících 5 let po ukončení výroby zařízení</w:t>
      </w:r>
      <w:r w:rsidRPr="007154F7">
        <w:rPr>
          <w:rFonts w:ascii="Verdana" w:hAnsi="Verdana"/>
          <w:i/>
          <w:iCs/>
          <w:sz w:val="20"/>
          <w:szCs w:val="20"/>
        </w:rPr>
        <w:t xml:space="preserve">. </w:t>
      </w:r>
      <w:r w:rsidRPr="007154F7">
        <w:rPr>
          <w:rFonts w:ascii="Verdana" w:hAnsi="Verdana"/>
          <w:bCs/>
          <w:i/>
          <w:iCs/>
          <w:sz w:val="20"/>
          <w:szCs w:val="20"/>
        </w:rPr>
        <w:t>V tento okamžik je záruka zatím platná</w:t>
      </w:r>
      <w:r w:rsidRPr="007154F7">
        <w:rPr>
          <w:rFonts w:ascii="Verdana" w:hAnsi="Verdana"/>
          <w:i/>
          <w:iCs/>
          <w:sz w:val="20"/>
          <w:szCs w:val="20"/>
        </w:rPr>
        <w:t xml:space="preserve">. </w:t>
      </w:r>
      <w:r w:rsidRPr="007154F7">
        <w:rPr>
          <w:rFonts w:ascii="Verdana" w:hAnsi="Verdana"/>
          <w:bCs/>
          <w:i/>
          <w:iCs/>
          <w:sz w:val="20"/>
          <w:szCs w:val="20"/>
        </w:rPr>
        <w:t>Přesné datum konce záruky mi napíší na email</w:t>
      </w:r>
      <w:r w:rsidRPr="007154F7">
        <w:rPr>
          <w:rFonts w:ascii="Verdana" w:hAnsi="Verdana"/>
          <w:i/>
          <w:iCs/>
          <w:sz w:val="20"/>
          <w:szCs w:val="20"/>
        </w:rPr>
        <w:t xml:space="preserve">. V krajním případě, že by došlo k rozbití výše uvedeného zařízení v pátek po 17:00 hodině, byl by nový </w:t>
      </w:r>
      <w:proofErr w:type="spellStart"/>
      <w:r w:rsidRPr="007154F7">
        <w:rPr>
          <w:rFonts w:ascii="Verdana" w:hAnsi="Verdana"/>
          <w:i/>
          <w:iCs/>
          <w:sz w:val="20"/>
          <w:szCs w:val="20"/>
        </w:rPr>
        <w:t>switch</w:t>
      </w:r>
      <w:proofErr w:type="spellEnd"/>
      <w:r w:rsidRPr="007154F7">
        <w:rPr>
          <w:rFonts w:ascii="Verdana" w:hAnsi="Verdana"/>
          <w:i/>
          <w:iCs/>
          <w:sz w:val="20"/>
          <w:szCs w:val="20"/>
        </w:rPr>
        <w:t xml:space="preserve"> na MÚ až v úterý následující týden. Do té doby by byla MP, Dačický dům, Spolkový dům, Informační centrum bez Internetu a aplikací. </w:t>
      </w:r>
      <w:r w:rsidRPr="007154F7">
        <w:rPr>
          <w:rFonts w:ascii="Verdana" w:hAnsi="Verdana"/>
          <w:bCs/>
          <w:i/>
          <w:iCs/>
          <w:sz w:val="20"/>
          <w:szCs w:val="20"/>
        </w:rPr>
        <w:t>Obě zařízení byla pořízena v roce 2008</w:t>
      </w:r>
      <w:r w:rsidRPr="007154F7">
        <w:rPr>
          <w:rFonts w:ascii="Verdana" w:hAnsi="Verdana"/>
          <w:i/>
          <w:iCs/>
          <w:sz w:val="20"/>
          <w:szCs w:val="20"/>
        </w:rPr>
        <w:t xml:space="preserve">. </w:t>
      </w:r>
      <w:r w:rsidRPr="007154F7">
        <w:rPr>
          <w:rFonts w:ascii="Verdana" w:hAnsi="Verdana"/>
          <w:b/>
          <w:bCs/>
          <w:i/>
          <w:iCs/>
          <w:sz w:val="20"/>
          <w:szCs w:val="20"/>
        </w:rPr>
        <w:t>Důvody pro výměnu:</w:t>
      </w:r>
      <w:r w:rsidRPr="007154F7">
        <w:rPr>
          <w:rFonts w:ascii="Verdana" w:hAnsi="Verdana"/>
          <w:i/>
          <w:iCs/>
          <w:sz w:val="20"/>
          <w:szCs w:val="20"/>
        </w:rPr>
        <w:t xml:space="preserve"> stáří, navýšení rychlosti a zajištění chodu sítě proti výpadku jednoho zařízení (v rámci akce by se pořizovali do každé budovy 2 zařízení- viz příloha 3 – plán sítě. (Přílohy pouze elektronicky)</w:t>
      </w:r>
    </w:p>
    <w:p w:rsidR="004B6D91" w:rsidRPr="007154F7" w:rsidRDefault="004B6D91" w:rsidP="007154F7">
      <w:pPr>
        <w:pStyle w:val="Zhlav"/>
        <w:shd w:val="clear" w:color="auto" w:fill="FFFFFF"/>
        <w:spacing w:line="276" w:lineRule="auto"/>
        <w:jc w:val="both"/>
        <w:rPr>
          <w:rFonts w:ascii="Verdana" w:hAnsi="Verdana"/>
          <w:sz w:val="20"/>
          <w:szCs w:val="20"/>
        </w:rPr>
      </w:pPr>
      <w:r w:rsidRPr="007154F7">
        <w:rPr>
          <w:rFonts w:ascii="Verdana" w:hAnsi="Verdana"/>
          <w:sz w:val="20"/>
          <w:szCs w:val="20"/>
          <w:u w:val="single"/>
        </w:rPr>
        <w:t>Rozpočtové opatření KT č. 4</w:t>
      </w:r>
      <w:r w:rsidRPr="007154F7">
        <w:rPr>
          <w:rFonts w:ascii="Verdana" w:hAnsi="Verdana"/>
          <w:sz w:val="20"/>
          <w:szCs w:val="20"/>
        </w:rPr>
        <w:t xml:space="preserve"> – navýšení rozpočtu (§ 16 odst. 3 písm. b) z. </w:t>
      </w:r>
      <w:proofErr w:type="gramStart"/>
      <w:r w:rsidRPr="007154F7">
        <w:rPr>
          <w:rFonts w:ascii="Verdana" w:hAnsi="Verdana"/>
          <w:sz w:val="20"/>
          <w:szCs w:val="20"/>
        </w:rPr>
        <w:t>č.</w:t>
      </w:r>
      <w:proofErr w:type="gramEnd"/>
      <w:r w:rsidRPr="007154F7">
        <w:rPr>
          <w:rFonts w:ascii="Verdana" w:hAnsi="Verdana"/>
          <w:sz w:val="20"/>
          <w:szCs w:val="20"/>
        </w:rPr>
        <w:t xml:space="preserve"> 250/2000 Sb.) o částku 264.640 Kč</w:t>
      </w:r>
    </w:p>
    <w:p w:rsidR="004B6D91" w:rsidRPr="007154F7" w:rsidRDefault="004B6D91" w:rsidP="007154F7">
      <w:pPr>
        <w:pStyle w:val="Zhlav"/>
        <w:shd w:val="clear" w:color="auto" w:fill="FFFFFF"/>
        <w:spacing w:line="276" w:lineRule="auto"/>
        <w:jc w:val="both"/>
        <w:rPr>
          <w:rFonts w:ascii="Verdana" w:hAnsi="Verdana"/>
          <w:sz w:val="20"/>
          <w:szCs w:val="20"/>
        </w:rPr>
      </w:pPr>
      <w:r w:rsidRPr="007154F7">
        <w:rPr>
          <w:rFonts w:ascii="Verdana" w:hAnsi="Verdana"/>
          <w:sz w:val="20"/>
          <w:szCs w:val="20"/>
        </w:rPr>
        <w:t>Na základně usnesení RM č. 20/20 Rada města souhlasila s výsledkem zadávacího řízení veřejné zakázky malého rozsahu s názvem "Procesní řízení". Jako nejvhodnější nabídka pro zadavatele byla vybrána nabídka zhotovitele M. C. TRITON, spol. s r.o., IČO: 49622005 a byla uzavřena smlouva na výše uvedenou veřejnou zakázku se zhotovitelem M. C. TRITON, spol. s r.o., IČO: 49622005, Evropská 846/176a, Praha 6, za nabídkovou cenu 464.640 Kč včetně DPH. Z důvodu neobdržení dotace na tuto akci je nutné položku navýšit.</w:t>
      </w:r>
    </w:p>
    <w:p w:rsidR="004B6D91" w:rsidRPr="007154F7" w:rsidRDefault="004B6D91" w:rsidP="007154F7">
      <w:pPr>
        <w:spacing w:after="0"/>
        <w:jc w:val="both"/>
        <w:rPr>
          <w:rFonts w:ascii="Verdana" w:hAnsi="Verdana"/>
          <w:sz w:val="20"/>
          <w:szCs w:val="20"/>
        </w:rPr>
      </w:pPr>
      <w:r w:rsidRPr="007154F7">
        <w:rPr>
          <w:rFonts w:ascii="Verdana" w:hAnsi="Verdana"/>
          <w:b/>
          <w:sz w:val="20"/>
          <w:szCs w:val="20"/>
        </w:rPr>
        <w:t>Přítomní členové FV nepodporují záměr financování procesního auditu.</w:t>
      </w:r>
      <w:r w:rsidRPr="007154F7">
        <w:rPr>
          <w:rFonts w:ascii="Verdana" w:hAnsi="Verdana"/>
          <w:sz w:val="20"/>
          <w:szCs w:val="20"/>
        </w:rPr>
        <w:t xml:space="preserve"> V programovém prohlášení byl požadavek vypracování personálního auditu. Domnívají se, že výsledky uvedeného auditu nebudou pro město tak přínosné oproti očekávání, podobně jako výstupy z již zpracovaného Strategického řízení, které bylo zpracováno stejnou firmou. Předseda FV diskutoval na toto téma s tajemníkem Města Poděbrady Ing. Martinem Suchánkem a ten vysvětlil, že podobné otázky řeší formou </w:t>
      </w:r>
      <w:proofErr w:type="spellStart"/>
      <w:r w:rsidRPr="007154F7">
        <w:rPr>
          <w:rFonts w:ascii="Verdana" w:hAnsi="Verdana"/>
          <w:sz w:val="20"/>
          <w:szCs w:val="20"/>
        </w:rPr>
        <w:t>b</w:t>
      </w:r>
      <w:r w:rsidRPr="007154F7">
        <w:rPr>
          <w:rFonts w:ascii="Verdana" w:hAnsi="Verdana"/>
          <w:bCs/>
          <w:sz w:val="20"/>
          <w:szCs w:val="20"/>
        </w:rPr>
        <w:t>enchmarkingu</w:t>
      </w:r>
      <w:proofErr w:type="spellEnd"/>
      <w:r w:rsidRPr="007154F7">
        <w:rPr>
          <w:rStyle w:val="Znakapoznpodarou"/>
          <w:rFonts w:ascii="Verdana" w:hAnsi="Verdana"/>
          <w:i/>
          <w:sz w:val="20"/>
          <w:szCs w:val="20"/>
        </w:rPr>
        <w:footnoteReference w:id="2"/>
      </w:r>
      <w:r w:rsidRPr="007154F7">
        <w:rPr>
          <w:rFonts w:ascii="Verdana" w:hAnsi="Verdana"/>
          <w:sz w:val="20"/>
          <w:szCs w:val="20"/>
        </w:rPr>
        <w:t xml:space="preserve">. </w:t>
      </w:r>
    </w:p>
    <w:p w:rsidR="004B6D91" w:rsidRPr="007154F7" w:rsidRDefault="004B6D91" w:rsidP="007154F7">
      <w:pPr>
        <w:pStyle w:val="Zhlav"/>
        <w:shd w:val="clear" w:color="auto" w:fill="EEECE1" w:themeFill="background2"/>
        <w:spacing w:line="276" w:lineRule="auto"/>
        <w:jc w:val="both"/>
        <w:rPr>
          <w:rFonts w:ascii="Verdana" w:hAnsi="Verdana"/>
          <w:sz w:val="20"/>
          <w:szCs w:val="20"/>
        </w:rPr>
      </w:pPr>
      <w:r w:rsidRPr="007154F7">
        <w:rPr>
          <w:rFonts w:ascii="Verdana" w:hAnsi="Verdana"/>
          <w:sz w:val="20"/>
          <w:szCs w:val="20"/>
        </w:rPr>
        <w:t>2/01 Konečná úprava rozpočtu 2019; 2/02 Plnění rozpočtu města Kutná Hora k 31. 12. 2019; 2/03 Rozpočtové opatření EKO č. 2</w:t>
      </w:r>
    </w:p>
    <w:p w:rsidR="004B6D91" w:rsidRPr="007154F7" w:rsidRDefault="004B6D91" w:rsidP="007154F7">
      <w:pPr>
        <w:pStyle w:val="Zhlav"/>
        <w:shd w:val="clear" w:color="auto" w:fill="FFFFFF"/>
        <w:spacing w:line="276" w:lineRule="auto"/>
        <w:jc w:val="both"/>
        <w:rPr>
          <w:rFonts w:ascii="Verdana" w:hAnsi="Verdana"/>
          <w:sz w:val="20"/>
          <w:szCs w:val="20"/>
        </w:rPr>
      </w:pPr>
      <w:r w:rsidRPr="007154F7">
        <w:rPr>
          <w:rFonts w:ascii="Verdana" w:hAnsi="Verdana"/>
          <w:sz w:val="20"/>
          <w:szCs w:val="20"/>
        </w:rPr>
        <w:t>Bez připomínek</w:t>
      </w:r>
    </w:p>
    <w:p w:rsidR="004B6D91" w:rsidRPr="007154F7" w:rsidRDefault="004B6D91" w:rsidP="007154F7">
      <w:pPr>
        <w:pStyle w:val="Zhlav"/>
        <w:shd w:val="clear" w:color="auto" w:fill="EEECE1" w:themeFill="background2"/>
        <w:spacing w:line="276" w:lineRule="auto"/>
        <w:jc w:val="both"/>
        <w:rPr>
          <w:rFonts w:ascii="Verdana" w:hAnsi="Verdana"/>
          <w:sz w:val="20"/>
          <w:szCs w:val="20"/>
        </w:rPr>
      </w:pPr>
      <w:r w:rsidRPr="007154F7">
        <w:rPr>
          <w:rFonts w:ascii="Verdana" w:hAnsi="Verdana"/>
          <w:sz w:val="20"/>
          <w:szCs w:val="20"/>
        </w:rPr>
        <w:t>2/04 Návrh na odpis pohledávek</w:t>
      </w:r>
    </w:p>
    <w:p w:rsidR="004B6D91" w:rsidRPr="007154F7" w:rsidRDefault="004B6D91" w:rsidP="007154F7">
      <w:pPr>
        <w:pStyle w:val="Zhlav"/>
        <w:shd w:val="clear" w:color="auto" w:fill="FFFFFF"/>
        <w:spacing w:line="276" w:lineRule="auto"/>
        <w:jc w:val="both"/>
        <w:rPr>
          <w:rFonts w:ascii="Verdana" w:hAnsi="Verdana"/>
          <w:sz w:val="20"/>
          <w:szCs w:val="20"/>
        </w:rPr>
      </w:pPr>
      <w:r w:rsidRPr="007154F7">
        <w:rPr>
          <w:rFonts w:ascii="Verdana" w:hAnsi="Verdana"/>
          <w:sz w:val="20"/>
          <w:szCs w:val="20"/>
        </w:rPr>
        <w:t>ZM bude předložen návrh na vzdání se práva a odpis pohledávek a jejich příslušenství v celkové výši 1 089 316,47 Kč. Jedná se o pohledávky po skončení konkurzu, insolvenčního řízení, skončení neúspěšné exekuce a uzavřené dědické řízení. FV dává podnět k zamyšlení, zda by nešlo nastavit pravidla tak, aby nedocházelo k tak velkým pohledávkám, které se musí z důvodu nevymahatelnosti odepisovat.</w:t>
      </w:r>
    </w:p>
    <w:p w:rsidR="004B6D91" w:rsidRPr="007154F7" w:rsidRDefault="004B6D91" w:rsidP="007154F7">
      <w:pPr>
        <w:pStyle w:val="Zhlav"/>
        <w:shd w:val="clear" w:color="auto" w:fill="EEECE1" w:themeFill="background2"/>
        <w:spacing w:line="276" w:lineRule="auto"/>
        <w:jc w:val="both"/>
        <w:rPr>
          <w:rFonts w:ascii="Verdana" w:hAnsi="Verdana"/>
          <w:sz w:val="20"/>
          <w:szCs w:val="20"/>
        </w:rPr>
      </w:pPr>
      <w:r w:rsidRPr="007154F7">
        <w:rPr>
          <w:rFonts w:ascii="Verdana" w:hAnsi="Verdana"/>
          <w:sz w:val="20"/>
          <w:szCs w:val="20"/>
        </w:rPr>
        <w:t>3/15 Rozpočtové opatření OSM č. 2/20</w:t>
      </w:r>
    </w:p>
    <w:p w:rsidR="004B6D91" w:rsidRPr="007154F7" w:rsidRDefault="004B6D91" w:rsidP="007154F7">
      <w:pPr>
        <w:pStyle w:val="Zhlav"/>
        <w:shd w:val="clear" w:color="auto" w:fill="FFFFFF"/>
        <w:spacing w:line="276" w:lineRule="auto"/>
        <w:jc w:val="both"/>
        <w:rPr>
          <w:rFonts w:ascii="Verdana" w:hAnsi="Verdana"/>
          <w:sz w:val="20"/>
          <w:szCs w:val="20"/>
        </w:rPr>
      </w:pPr>
      <w:r w:rsidRPr="007154F7">
        <w:rPr>
          <w:rFonts w:ascii="Verdana" w:hAnsi="Verdana"/>
          <w:sz w:val="20"/>
          <w:szCs w:val="20"/>
        </w:rPr>
        <w:t>Návrh na navýšení výdajové investiční položky „Zimní stadion“ o částku 4.100.000,-- Kč na odvlhčení haly. Finanční výbor upozorňuje, že důvodová zpráva pro rozhodnutí o navýšení o tak velkou sumu není dostatečně průkazná. Není doloženo, jak odbor dospěl k takové sumě. Zda bylo výběrové řízení. Nemůže tedy dát k tomuto materiálu souhlasné stanovisko.</w:t>
      </w:r>
    </w:p>
    <w:p w:rsidR="004B6D91" w:rsidRPr="007154F7" w:rsidRDefault="004B6D91" w:rsidP="007154F7">
      <w:pPr>
        <w:pStyle w:val="Zhlav"/>
        <w:shd w:val="clear" w:color="auto" w:fill="EEECE1" w:themeFill="background2"/>
        <w:spacing w:line="276" w:lineRule="auto"/>
        <w:jc w:val="both"/>
        <w:rPr>
          <w:rFonts w:ascii="Verdana" w:hAnsi="Verdana"/>
          <w:sz w:val="20"/>
          <w:szCs w:val="20"/>
        </w:rPr>
      </w:pPr>
      <w:r w:rsidRPr="007154F7">
        <w:rPr>
          <w:rFonts w:ascii="Verdana" w:hAnsi="Verdana"/>
          <w:sz w:val="20"/>
          <w:szCs w:val="20"/>
        </w:rPr>
        <w:t>3/16 Rozpočtové opatření OSM č. 3/20</w:t>
      </w:r>
    </w:p>
    <w:p w:rsidR="004B6D91" w:rsidRPr="007154F7" w:rsidRDefault="004B6D91" w:rsidP="007154F7">
      <w:pPr>
        <w:pStyle w:val="Zhlav"/>
        <w:shd w:val="clear" w:color="auto" w:fill="FFFFFF"/>
        <w:spacing w:line="276" w:lineRule="auto"/>
        <w:jc w:val="both"/>
        <w:rPr>
          <w:rFonts w:ascii="Verdana" w:hAnsi="Verdana"/>
          <w:sz w:val="20"/>
          <w:szCs w:val="20"/>
        </w:rPr>
      </w:pPr>
      <w:r w:rsidRPr="007154F7">
        <w:rPr>
          <w:rFonts w:ascii="Verdana" w:hAnsi="Verdana"/>
          <w:sz w:val="20"/>
          <w:szCs w:val="20"/>
        </w:rPr>
        <w:lastRenderedPageBreak/>
        <w:t>Návrh na rozpočtové opatření OSM č. 3/20, kterým se zřizuje nová výdajová položka Zelenkova vila – oprava oken ve výši 800.000,-- Kč. FV opět upozorňuje na nedostatečnou důvodovou zprávu. Pokud není dosud rozhodnuto, co bude dál se Zelenkovou vilou, nevidí jako hospodárné investovat do opravy oken. Nejedná se o zamezení větších ztrát z případného chátrání, což by byla investice například do střechy.</w:t>
      </w:r>
    </w:p>
    <w:p w:rsidR="004B6D91" w:rsidRPr="007154F7" w:rsidRDefault="004B6D91" w:rsidP="007154F7">
      <w:pPr>
        <w:pStyle w:val="Zhlav"/>
        <w:shd w:val="clear" w:color="auto" w:fill="EEECE1" w:themeFill="background2"/>
        <w:spacing w:line="276" w:lineRule="auto"/>
        <w:jc w:val="both"/>
        <w:rPr>
          <w:rFonts w:ascii="Verdana" w:hAnsi="Verdana"/>
          <w:sz w:val="20"/>
          <w:szCs w:val="20"/>
        </w:rPr>
      </w:pPr>
      <w:r w:rsidRPr="007154F7">
        <w:rPr>
          <w:rFonts w:ascii="Verdana" w:hAnsi="Verdana"/>
          <w:sz w:val="20"/>
          <w:szCs w:val="20"/>
        </w:rPr>
        <w:t xml:space="preserve">4/05 Rozpočtové opatření OPPŠK č. 8 – Stříbrná Kutná </w:t>
      </w:r>
      <w:proofErr w:type="gramStart"/>
      <w:r w:rsidRPr="007154F7">
        <w:rPr>
          <w:rFonts w:ascii="Verdana" w:hAnsi="Verdana"/>
          <w:sz w:val="20"/>
          <w:szCs w:val="20"/>
        </w:rPr>
        <w:t xml:space="preserve">Hora </w:t>
      </w:r>
      <w:proofErr w:type="spellStart"/>
      <w:r w:rsidRPr="007154F7">
        <w:rPr>
          <w:rFonts w:ascii="Verdana" w:hAnsi="Verdana"/>
          <w:sz w:val="20"/>
          <w:szCs w:val="20"/>
        </w:rPr>
        <w:t>z.s</w:t>
      </w:r>
      <w:proofErr w:type="spellEnd"/>
      <w:r w:rsidRPr="007154F7">
        <w:rPr>
          <w:rFonts w:ascii="Verdana" w:hAnsi="Verdana"/>
          <w:sz w:val="20"/>
          <w:szCs w:val="20"/>
        </w:rPr>
        <w:t>.</w:t>
      </w:r>
      <w:proofErr w:type="gramEnd"/>
    </w:p>
    <w:p w:rsidR="004B6D91" w:rsidRPr="007154F7" w:rsidRDefault="004B6D91" w:rsidP="007154F7">
      <w:pPr>
        <w:pStyle w:val="Zhlav"/>
        <w:shd w:val="clear" w:color="auto" w:fill="FFFFFF"/>
        <w:spacing w:line="276" w:lineRule="auto"/>
        <w:jc w:val="both"/>
        <w:rPr>
          <w:rFonts w:ascii="Verdana" w:hAnsi="Verdana"/>
          <w:sz w:val="20"/>
          <w:szCs w:val="20"/>
        </w:rPr>
      </w:pPr>
      <w:r w:rsidRPr="007154F7">
        <w:rPr>
          <w:rFonts w:ascii="Verdana" w:hAnsi="Verdana"/>
          <w:sz w:val="20"/>
          <w:szCs w:val="20"/>
        </w:rPr>
        <w:t>Návrh na rozpočtové opatření OPPŠK č. 8 – přesun rozpočtových prostředků ve výši 100 000,- Kč z položky Stříbrná Kutná Hora – členský příspěvek (z důvodu ukončení činnosti spolku) na položku Oslavy 25. výročí UNESCO – služby. Předseda FV se ptá, proč tyto peníze nebyly ponechány v rezervě na akci „Kutnohorské stříbření“ jelikož v roce 2019 dostal spolek 100 tis. Kč příspěvek spolku + 180 tis. Kč na akci Kutnohorské stříbření. Pro rok 2020 je v rozpočtu na akci jen 150 tis. Kč.</w:t>
      </w:r>
    </w:p>
    <w:p w:rsidR="004B6D91" w:rsidRPr="007154F7" w:rsidRDefault="004B6D91" w:rsidP="007154F7">
      <w:pPr>
        <w:pStyle w:val="Zhlav"/>
        <w:shd w:val="clear" w:color="auto" w:fill="EEECE1" w:themeFill="background2"/>
        <w:spacing w:line="276" w:lineRule="auto"/>
        <w:jc w:val="both"/>
        <w:rPr>
          <w:rFonts w:ascii="Verdana" w:hAnsi="Verdana"/>
          <w:sz w:val="20"/>
          <w:szCs w:val="20"/>
        </w:rPr>
      </w:pPr>
      <w:r w:rsidRPr="007154F7">
        <w:rPr>
          <w:rFonts w:ascii="Verdana" w:hAnsi="Verdana"/>
          <w:sz w:val="20"/>
          <w:szCs w:val="20"/>
        </w:rPr>
        <w:t>4/06 Rozpočtové opatření OPPŠK č. 6 a uzavření VPS</w:t>
      </w:r>
    </w:p>
    <w:p w:rsidR="004B6D91" w:rsidRPr="007154F7" w:rsidRDefault="004B6D91" w:rsidP="007154F7">
      <w:pPr>
        <w:pStyle w:val="Zhlav"/>
        <w:shd w:val="clear" w:color="auto" w:fill="FFFFFF"/>
        <w:spacing w:line="276" w:lineRule="auto"/>
        <w:jc w:val="both"/>
        <w:rPr>
          <w:rFonts w:ascii="Verdana" w:hAnsi="Verdana"/>
          <w:sz w:val="20"/>
          <w:szCs w:val="20"/>
        </w:rPr>
      </w:pPr>
      <w:r w:rsidRPr="007154F7">
        <w:rPr>
          <w:rFonts w:ascii="Verdana" w:hAnsi="Verdana"/>
          <w:sz w:val="20"/>
          <w:szCs w:val="20"/>
        </w:rPr>
        <w:t>Poskytnutí investiční dotace pro TJ Sparta Kutná Hora – Plavecký bazén ve výši 2 000 000,- Kč na výměnu oken. Podmíněno vlastnickým převodem bazénu na Město Kutná Hora. Finanční výbor navrhuje ZM, aby tento materiál odložilo, do doby, než bude tento převod smluvně ošetřen.</w:t>
      </w:r>
    </w:p>
    <w:p w:rsidR="004B6D91" w:rsidRPr="007154F7" w:rsidRDefault="004B6D91" w:rsidP="007154F7">
      <w:pPr>
        <w:pStyle w:val="Zhlav"/>
        <w:shd w:val="clear" w:color="auto" w:fill="EEECE1" w:themeFill="background2"/>
        <w:spacing w:line="276" w:lineRule="auto"/>
        <w:jc w:val="both"/>
        <w:rPr>
          <w:rFonts w:ascii="Verdana" w:hAnsi="Verdana"/>
          <w:sz w:val="20"/>
          <w:szCs w:val="20"/>
        </w:rPr>
      </w:pPr>
      <w:r w:rsidRPr="007154F7">
        <w:rPr>
          <w:rFonts w:ascii="Verdana" w:hAnsi="Verdana"/>
          <w:sz w:val="20"/>
          <w:szCs w:val="20"/>
        </w:rPr>
        <w:t>4/07 Rozpočtové opatření OPPŠK č. 7 a uzavření VPS; 6/01 Rozpočtové opatření INV č. 2</w:t>
      </w:r>
    </w:p>
    <w:p w:rsidR="004B6D91" w:rsidRPr="007154F7" w:rsidRDefault="004B6D91" w:rsidP="007154F7">
      <w:pPr>
        <w:pStyle w:val="Zhlav"/>
        <w:shd w:val="clear" w:color="auto" w:fill="FFFFFF"/>
        <w:spacing w:line="276" w:lineRule="auto"/>
        <w:jc w:val="both"/>
        <w:rPr>
          <w:rFonts w:ascii="Verdana" w:hAnsi="Verdana"/>
          <w:sz w:val="20"/>
          <w:szCs w:val="20"/>
        </w:rPr>
      </w:pPr>
      <w:r w:rsidRPr="007154F7">
        <w:rPr>
          <w:rFonts w:ascii="Verdana" w:hAnsi="Verdana"/>
          <w:sz w:val="20"/>
          <w:szCs w:val="20"/>
        </w:rPr>
        <w:t>Bez připomínek</w:t>
      </w:r>
    </w:p>
    <w:p w:rsidR="004B6D91" w:rsidRPr="007154F7" w:rsidRDefault="004B6D91" w:rsidP="007154F7">
      <w:pPr>
        <w:pStyle w:val="Zhlav"/>
        <w:shd w:val="clear" w:color="auto" w:fill="EEECE1" w:themeFill="background2"/>
        <w:spacing w:line="276" w:lineRule="auto"/>
        <w:jc w:val="both"/>
        <w:rPr>
          <w:rFonts w:ascii="Verdana" w:hAnsi="Verdana"/>
          <w:sz w:val="20"/>
          <w:szCs w:val="20"/>
        </w:rPr>
      </w:pPr>
      <w:r w:rsidRPr="007154F7">
        <w:rPr>
          <w:rFonts w:ascii="Verdana" w:hAnsi="Verdana"/>
          <w:sz w:val="20"/>
          <w:szCs w:val="20"/>
        </w:rPr>
        <w:t>6/50 Rozpočtové opatření INV – TO č. 1 – 4/20</w:t>
      </w:r>
    </w:p>
    <w:p w:rsidR="004B6D91" w:rsidRPr="007154F7" w:rsidRDefault="004B6D91" w:rsidP="007154F7">
      <w:pPr>
        <w:pStyle w:val="Zhlav"/>
        <w:shd w:val="clear" w:color="auto" w:fill="FFFFFF"/>
        <w:spacing w:line="276" w:lineRule="auto"/>
        <w:jc w:val="both"/>
        <w:rPr>
          <w:rFonts w:ascii="Verdana" w:hAnsi="Verdana"/>
          <w:sz w:val="20"/>
          <w:szCs w:val="20"/>
        </w:rPr>
      </w:pPr>
      <w:proofErr w:type="spellStart"/>
      <w:r w:rsidRPr="007154F7">
        <w:rPr>
          <w:rFonts w:ascii="Verdana" w:hAnsi="Verdana"/>
          <w:sz w:val="20"/>
          <w:szCs w:val="20"/>
        </w:rPr>
        <w:t>Add</w:t>
      </w:r>
      <w:proofErr w:type="spellEnd"/>
      <w:r w:rsidRPr="007154F7">
        <w:rPr>
          <w:rFonts w:ascii="Verdana" w:hAnsi="Verdana"/>
          <w:sz w:val="20"/>
          <w:szCs w:val="20"/>
        </w:rPr>
        <w:t xml:space="preserve"> 2)</w:t>
      </w:r>
      <w:r w:rsidRPr="007154F7">
        <w:rPr>
          <w:rFonts w:ascii="Verdana" w:hAnsi="Verdana"/>
          <w:sz w:val="20"/>
          <w:szCs w:val="20"/>
        </w:rPr>
        <w:tab/>
        <w:t xml:space="preserve"> předložený návrh na rozpočtové opatření INV – TO č. 2/20, kterým dochází navýšení výdajové položky Měření rychlosti-nájem ve výši 444.127,--Kč – Finanční výbor doporučuje ZM, aby pozastavil platbu za tento nájem do doby právního prověření celého medializovaného postupu v souvislosti se smlouvou firmy </w:t>
      </w:r>
      <w:proofErr w:type="spellStart"/>
      <w:r w:rsidRPr="007154F7">
        <w:rPr>
          <w:rFonts w:ascii="Verdana" w:hAnsi="Verdana"/>
          <w:sz w:val="20"/>
          <w:szCs w:val="20"/>
        </w:rPr>
        <w:t>Gemos</w:t>
      </w:r>
      <w:proofErr w:type="spellEnd"/>
      <w:r w:rsidRPr="007154F7">
        <w:rPr>
          <w:rFonts w:ascii="Verdana" w:hAnsi="Verdana"/>
          <w:sz w:val="20"/>
          <w:szCs w:val="20"/>
        </w:rPr>
        <w:t>.</w:t>
      </w:r>
    </w:p>
    <w:p w:rsidR="004B6D91" w:rsidRPr="007154F7" w:rsidRDefault="004B6D91" w:rsidP="007154F7">
      <w:pPr>
        <w:pStyle w:val="Zhlav"/>
        <w:shd w:val="clear" w:color="auto" w:fill="FFFFFF"/>
        <w:spacing w:line="276" w:lineRule="auto"/>
        <w:jc w:val="both"/>
        <w:rPr>
          <w:rFonts w:ascii="Verdana" w:hAnsi="Verdana"/>
          <w:sz w:val="20"/>
          <w:szCs w:val="20"/>
        </w:rPr>
      </w:pPr>
      <w:r w:rsidRPr="007154F7">
        <w:rPr>
          <w:rFonts w:ascii="Verdana" w:hAnsi="Verdana"/>
          <w:sz w:val="20"/>
          <w:szCs w:val="20"/>
        </w:rPr>
        <w:t>add3)</w:t>
      </w:r>
      <w:r w:rsidRPr="007154F7">
        <w:rPr>
          <w:rFonts w:ascii="Verdana" w:hAnsi="Verdana"/>
          <w:sz w:val="20"/>
          <w:szCs w:val="20"/>
        </w:rPr>
        <w:tab/>
        <w:t xml:space="preserve"> předložený návrh na rozpočtové opatření INV – TO č. 3/20, kterým dochází k vytvoření investiční položky „Napojení prodejny </w:t>
      </w:r>
      <w:proofErr w:type="spellStart"/>
      <w:r w:rsidRPr="007154F7">
        <w:rPr>
          <w:rFonts w:ascii="Verdana" w:hAnsi="Verdana"/>
          <w:sz w:val="20"/>
          <w:szCs w:val="20"/>
        </w:rPr>
        <w:t>MaxiHit</w:t>
      </w:r>
      <w:proofErr w:type="spellEnd"/>
      <w:r w:rsidRPr="007154F7">
        <w:rPr>
          <w:rFonts w:ascii="Verdana" w:hAnsi="Verdana"/>
          <w:sz w:val="20"/>
          <w:szCs w:val="20"/>
        </w:rPr>
        <w:t>“ z roku 2019 ve výši 871.620,--Kč – FV opět upozorňuje na nedostatečně podrobnou důvodovou zprávu. Není uvedeno, kolik celá akce stála, kolik se již profinancovalo a kdy bude ukončeno.</w:t>
      </w:r>
    </w:p>
    <w:p w:rsidR="004B6D91" w:rsidRPr="007154F7" w:rsidRDefault="004B6D91" w:rsidP="007154F7">
      <w:pPr>
        <w:pStyle w:val="Zhlav"/>
        <w:shd w:val="clear" w:color="auto" w:fill="EEECE1" w:themeFill="background2"/>
        <w:spacing w:line="276" w:lineRule="auto"/>
        <w:jc w:val="both"/>
        <w:rPr>
          <w:rFonts w:ascii="Verdana" w:hAnsi="Verdana"/>
          <w:sz w:val="20"/>
          <w:szCs w:val="20"/>
        </w:rPr>
      </w:pPr>
      <w:r w:rsidRPr="007154F7">
        <w:rPr>
          <w:rFonts w:ascii="Verdana" w:hAnsi="Verdana"/>
          <w:sz w:val="20"/>
          <w:szCs w:val="20"/>
        </w:rPr>
        <w:t>7/01 Rozdělení dotací z rozpočtu města pro soc. účely na rok 2020</w:t>
      </w:r>
    </w:p>
    <w:p w:rsidR="004B6D91" w:rsidRPr="007154F7" w:rsidRDefault="004B6D91" w:rsidP="007154F7">
      <w:pPr>
        <w:pStyle w:val="Zhlav"/>
        <w:shd w:val="clear" w:color="auto" w:fill="FFFFFF"/>
        <w:spacing w:line="276" w:lineRule="auto"/>
        <w:jc w:val="both"/>
        <w:rPr>
          <w:rFonts w:ascii="Verdana" w:hAnsi="Verdana"/>
          <w:sz w:val="20"/>
          <w:szCs w:val="20"/>
        </w:rPr>
      </w:pPr>
      <w:r w:rsidRPr="007154F7">
        <w:rPr>
          <w:rFonts w:ascii="Verdana" w:hAnsi="Verdana"/>
          <w:sz w:val="20"/>
          <w:szCs w:val="20"/>
        </w:rPr>
        <w:t>Bez připomínek</w:t>
      </w:r>
    </w:p>
    <w:p w:rsidR="004B6D91" w:rsidRPr="007154F7" w:rsidRDefault="004B6D91" w:rsidP="007154F7">
      <w:pPr>
        <w:pStyle w:val="Zhlav"/>
        <w:shd w:val="clear" w:color="auto" w:fill="FFFFFF"/>
        <w:spacing w:line="276" w:lineRule="auto"/>
        <w:jc w:val="both"/>
        <w:rPr>
          <w:rFonts w:ascii="Verdana" w:hAnsi="Verdana"/>
          <w:b/>
          <w:sz w:val="20"/>
          <w:szCs w:val="20"/>
        </w:rPr>
      </w:pPr>
      <w:r w:rsidRPr="007154F7">
        <w:rPr>
          <w:rFonts w:ascii="Verdana" w:hAnsi="Verdana"/>
          <w:b/>
          <w:sz w:val="20"/>
          <w:szCs w:val="20"/>
        </w:rPr>
        <w:t>Add3</w:t>
      </w:r>
    </w:p>
    <w:p w:rsidR="004B6D91" w:rsidRPr="007154F7" w:rsidRDefault="004B6D91" w:rsidP="007154F7">
      <w:pPr>
        <w:pStyle w:val="Zhlav"/>
        <w:shd w:val="clear" w:color="auto" w:fill="FFFFFF"/>
        <w:spacing w:line="276" w:lineRule="auto"/>
        <w:jc w:val="both"/>
        <w:rPr>
          <w:rFonts w:ascii="Verdana" w:hAnsi="Verdana"/>
          <w:sz w:val="20"/>
          <w:szCs w:val="20"/>
        </w:rPr>
      </w:pPr>
      <w:r w:rsidRPr="007154F7">
        <w:rPr>
          <w:rFonts w:ascii="Verdana" w:hAnsi="Verdana"/>
          <w:sz w:val="20"/>
          <w:szCs w:val="20"/>
        </w:rPr>
        <w:t>F</w:t>
      </w:r>
      <w:r w:rsidRPr="007154F7">
        <w:rPr>
          <w:rFonts w:ascii="Verdana" w:hAnsi="Verdana"/>
          <w:b/>
          <w:sz w:val="20"/>
          <w:szCs w:val="20"/>
        </w:rPr>
        <w:t>i</w:t>
      </w:r>
      <w:r w:rsidRPr="007154F7">
        <w:rPr>
          <w:rFonts w:ascii="Verdana" w:hAnsi="Verdana"/>
          <w:sz w:val="20"/>
          <w:szCs w:val="20"/>
        </w:rPr>
        <w:t xml:space="preserve">nanční výbor požaduje předložit veškerou dokumentaci a dosud profinancované finanční prostředky na akci </w:t>
      </w:r>
      <w:r w:rsidRPr="007154F7">
        <w:rPr>
          <w:rFonts w:ascii="Verdana" w:hAnsi="Verdana"/>
          <w:b/>
          <w:sz w:val="20"/>
          <w:szCs w:val="20"/>
        </w:rPr>
        <w:t>Revitalizace Sankturinovského domu v Kutné Hoře</w:t>
      </w:r>
      <w:r w:rsidRPr="007154F7">
        <w:rPr>
          <w:rFonts w:ascii="Verdana" w:hAnsi="Verdana"/>
          <w:sz w:val="20"/>
          <w:szCs w:val="20"/>
        </w:rPr>
        <w:t>. Je nutné opětovně prověřit, zda by nebylo hospodárnější akci nerealizovat.</w:t>
      </w:r>
    </w:p>
    <w:p w:rsidR="004B6D91" w:rsidRPr="007154F7" w:rsidRDefault="004B6D91" w:rsidP="007154F7">
      <w:pPr>
        <w:pStyle w:val="Zhlav"/>
        <w:shd w:val="clear" w:color="auto" w:fill="FFFFFF"/>
        <w:tabs>
          <w:tab w:val="clear" w:pos="4536"/>
          <w:tab w:val="clear" w:pos="9072"/>
          <w:tab w:val="decimal" w:pos="3828"/>
        </w:tabs>
        <w:spacing w:line="276" w:lineRule="auto"/>
        <w:jc w:val="both"/>
        <w:rPr>
          <w:rFonts w:ascii="Verdana" w:hAnsi="Verdana"/>
          <w:b/>
          <w:sz w:val="20"/>
          <w:szCs w:val="20"/>
        </w:rPr>
      </w:pPr>
      <w:r w:rsidRPr="007154F7">
        <w:rPr>
          <w:rFonts w:ascii="Verdana" w:hAnsi="Verdana"/>
          <w:b/>
          <w:sz w:val="20"/>
          <w:szCs w:val="20"/>
        </w:rPr>
        <w:t>Do února 2020 výdaje:</w:t>
      </w:r>
      <w:r w:rsidRPr="007154F7">
        <w:rPr>
          <w:rFonts w:ascii="Verdana" w:hAnsi="Verdana"/>
          <w:b/>
          <w:sz w:val="20"/>
          <w:szCs w:val="20"/>
        </w:rPr>
        <w:tab/>
      </w:r>
    </w:p>
    <w:p w:rsidR="004B6D91" w:rsidRPr="007154F7" w:rsidRDefault="004B6D91" w:rsidP="007154F7">
      <w:pPr>
        <w:pStyle w:val="Zhlav"/>
        <w:shd w:val="clear" w:color="auto" w:fill="FFFFFF"/>
        <w:tabs>
          <w:tab w:val="clear" w:pos="4536"/>
          <w:tab w:val="clear" w:pos="9072"/>
          <w:tab w:val="decimal" w:leader="dot" w:pos="3828"/>
        </w:tabs>
        <w:spacing w:line="276" w:lineRule="auto"/>
        <w:jc w:val="both"/>
        <w:rPr>
          <w:rFonts w:ascii="Verdana" w:hAnsi="Verdana"/>
          <w:sz w:val="20"/>
          <w:szCs w:val="20"/>
        </w:rPr>
      </w:pPr>
      <w:r w:rsidRPr="007154F7">
        <w:rPr>
          <w:rFonts w:ascii="Verdana" w:hAnsi="Verdana"/>
          <w:sz w:val="20"/>
          <w:szCs w:val="20"/>
        </w:rPr>
        <w:t>neinvestiční:</w:t>
      </w:r>
      <w:r w:rsidRPr="007154F7">
        <w:rPr>
          <w:rFonts w:ascii="Verdana" w:hAnsi="Verdana"/>
          <w:sz w:val="20"/>
          <w:szCs w:val="20"/>
        </w:rPr>
        <w:tab/>
        <w:t>909 427,00 Kč</w:t>
      </w:r>
    </w:p>
    <w:p w:rsidR="004B6D91" w:rsidRPr="007154F7" w:rsidRDefault="004B6D91" w:rsidP="007154F7">
      <w:pPr>
        <w:pStyle w:val="Zhlav"/>
        <w:shd w:val="clear" w:color="auto" w:fill="FFFFFF"/>
        <w:tabs>
          <w:tab w:val="clear" w:pos="4536"/>
          <w:tab w:val="clear" w:pos="9072"/>
          <w:tab w:val="decimal" w:leader="dot" w:pos="3828"/>
        </w:tabs>
        <w:spacing w:line="276" w:lineRule="auto"/>
        <w:jc w:val="both"/>
        <w:rPr>
          <w:rFonts w:ascii="Verdana" w:hAnsi="Verdana"/>
          <w:sz w:val="20"/>
          <w:szCs w:val="20"/>
        </w:rPr>
      </w:pPr>
      <w:r w:rsidRPr="007154F7">
        <w:rPr>
          <w:rFonts w:ascii="Verdana" w:hAnsi="Verdana"/>
          <w:sz w:val="20"/>
          <w:szCs w:val="20"/>
        </w:rPr>
        <w:t xml:space="preserve">investiční: </w:t>
      </w:r>
      <w:r w:rsidRPr="007154F7">
        <w:rPr>
          <w:rFonts w:ascii="Verdana" w:hAnsi="Verdana"/>
          <w:sz w:val="20"/>
          <w:szCs w:val="20"/>
        </w:rPr>
        <w:tab/>
        <w:t>1 580 322,50 Kč</w:t>
      </w:r>
    </w:p>
    <w:p w:rsidR="004B6D91" w:rsidRPr="007154F7" w:rsidRDefault="004B6D91" w:rsidP="007154F7">
      <w:pPr>
        <w:pStyle w:val="Zhlav"/>
        <w:shd w:val="clear" w:color="auto" w:fill="FFFFFF"/>
        <w:tabs>
          <w:tab w:val="clear" w:pos="4536"/>
          <w:tab w:val="clear" w:pos="9072"/>
          <w:tab w:val="decimal" w:leader="dot" w:pos="3828"/>
        </w:tabs>
        <w:spacing w:line="276" w:lineRule="auto"/>
        <w:jc w:val="both"/>
        <w:rPr>
          <w:rFonts w:ascii="Verdana" w:hAnsi="Verdana"/>
          <w:b/>
          <w:sz w:val="20"/>
          <w:szCs w:val="20"/>
        </w:rPr>
      </w:pPr>
      <w:r w:rsidRPr="007154F7">
        <w:rPr>
          <w:rFonts w:ascii="Verdana" w:hAnsi="Verdana"/>
          <w:b/>
          <w:sz w:val="20"/>
          <w:szCs w:val="20"/>
        </w:rPr>
        <w:t>Došlá dotace:</w:t>
      </w:r>
    </w:p>
    <w:p w:rsidR="004B6D91" w:rsidRPr="007154F7" w:rsidRDefault="004B6D91" w:rsidP="007154F7">
      <w:pPr>
        <w:pStyle w:val="Zhlav"/>
        <w:shd w:val="clear" w:color="auto" w:fill="FFFFFF"/>
        <w:tabs>
          <w:tab w:val="clear" w:pos="4536"/>
          <w:tab w:val="clear" w:pos="9072"/>
          <w:tab w:val="decimal" w:leader="dot" w:pos="3828"/>
        </w:tabs>
        <w:spacing w:line="276" w:lineRule="auto"/>
        <w:jc w:val="both"/>
        <w:rPr>
          <w:rFonts w:ascii="Verdana" w:hAnsi="Verdana"/>
          <w:sz w:val="20"/>
          <w:szCs w:val="20"/>
        </w:rPr>
      </w:pPr>
      <w:r w:rsidRPr="007154F7">
        <w:rPr>
          <w:rFonts w:ascii="Verdana" w:hAnsi="Verdana"/>
          <w:sz w:val="20"/>
          <w:szCs w:val="20"/>
        </w:rPr>
        <w:t xml:space="preserve">V roce 2018 </w:t>
      </w:r>
      <w:r w:rsidRPr="007154F7">
        <w:rPr>
          <w:rFonts w:ascii="Verdana" w:hAnsi="Verdana"/>
          <w:sz w:val="20"/>
          <w:szCs w:val="20"/>
        </w:rPr>
        <w:tab/>
        <w:t>708 344,89 Kč</w:t>
      </w:r>
    </w:p>
    <w:p w:rsidR="004B6D91" w:rsidRPr="007154F7" w:rsidRDefault="004B6D91" w:rsidP="007154F7">
      <w:pPr>
        <w:pStyle w:val="Zhlav"/>
        <w:shd w:val="clear" w:color="auto" w:fill="FFFFFF"/>
        <w:spacing w:line="276" w:lineRule="auto"/>
        <w:jc w:val="both"/>
        <w:rPr>
          <w:rFonts w:ascii="Verdana" w:hAnsi="Verdana"/>
          <w:sz w:val="20"/>
          <w:szCs w:val="20"/>
        </w:rPr>
      </w:pPr>
      <w:r w:rsidRPr="007154F7">
        <w:rPr>
          <w:rFonts w:ascii="Verdana" w:hAnsi="Verdana"/>
          <w:sz w:val="20"/>
          <w:szCs w:val="20"/>
        </w:rPr>
        <w:t>Projektový manažer na základě požadavku vedení zpracoval model pro případné odstoupení od projektu v listopadu roku 2019.</w:t>
      </w:r>
    </w:p>
    <w:p w:rsidR="004B6D91" w:rsidRPr="007154F7" w:rsidRDefault="004B6D91" w:rsidP="007154F7">
      <w:pPr>
        <w:spacing w:after="0"/>
        <w:jc w:val="both"/>
        <w:rPr>
          <w:rFonts w:ascii="Verdana" w:hAnsi="Verdana" w:cs="Arial"/>
          <w:b/>
          <w:sz w:val="20"/>
          <w:szCs w:val="20"/>
        </w:rPr>
      </w:pPr>
    </w:p>
    <w:p w:rsidR="004B6D91" w:rsidRPr="007154F7" w:rsidRDefault="004B6D91" w:rsidP="007154F7">
      <w:pPr>
        <w:shd w:val="clear" w:color="auto" w:fill="EEECE1" w:themeFill="background2"/>
        <w:spacing w:after="0"/>
        <w:jc w:val="both"/>
        <w:rPr>
          <w:rFonts w:ascii="Verdana" w:hAnsi="Verdana" w:cs="Arial"/>
          <w:b/>
          <w:sz w:val="20"/>
          <w:szCs w:val="20"/>
        </w:rPr>
      </w:pPr>
      <w:r w:rsidRPr="007154F7">
        <w:rPr>
          <w:rFonts w:ascii="Verdana" w:hAnsi="Verdana" w:cs="Arial"/>
          <w:b/>
          <w:sz w:val="20"/>
          <w:szCs w:val="20"/>
        </w:rPr>
        <w:t>Projekt „Revitalizace Sankturinovského domu v Kutné Hoře“</w:t>
      </w:r>
    </w:p>
    <w:p w:rsidR="004B6D91" w:rsidRPr="007154F7" w:rsidRDefault="004B6D91" w:rsidP="007154F7">
      <w:pPr>
        <w:shd w:val="clear" w:color="auto" w:fill="EEECE1" w:themeFill="background2"/>
        <w:spacing w:after="0"/>
        <w:jc w:val="both"/>
        <w:rPr>
          <w:rFonts w:ascii="Verdana" w:hAnsi="Verdana" w:cs="Arial"/>
          <w:b/>
          <w:sz w:val="20"/>
          <w:szCs w:val="20"/>
        </w:rPr>
      </w:pPr>
      <w:r w:rsidRPr="007154F7">
        <w:rPr>
          <w:rFonts w:ascii="Verdana" w:hAnsi="Verdana" w:cs="Arial"/>
          <w:b/>
          <w:sz w:val="20"/>
          <w:szCs w:val="20"/>
        </w:rPr>
        <w:t>Zatížení rozpočtu města v roce 2020 s výhledem na další roky</w:t>
      </w:r>
    </w:p>
    <w:p w:rsidR="004B6D91" w:rsidRPr="007154F7" w:rsidRDefault="004B6D91" w:rsidP="007154F7">
      <w:pPr>
        <w:spacing w:after="0"/>
        <w:jc w:val="both"/>
        <w:rPr>
          <w:rFonts w:ascii="Verdana" w:hAnsi="Verdana" w:cs="Arial"/>
          <w:sz w:val="20"/>
          <w:szCs w:val="20"/>
        </w:rPr>
      </w:pPr>
      <w:r w:rsidRPr="007154F7">
        <w:rPr>
          <w:rFonts w:ascii="Verdana" w:hAnsi="Verdana" w:cs="Arial"/>
          <w:sz w:val="20"/>
          <w:szCs w:val="20"/>
        </w:rPr>
        <w:t xml:space="preserve">Skutečné zatížení rozpočtu města výdaji projektu v roce 2020 bude řádově nižší, než jaké vyplývalo z finančního plánu projektu před jeho aktualizací podle reálného </w:t>
      </w:r>
      <w:r w:rsidRPr="007154F7">
        <w:rPr>
          <w:rFonts w:ascii="Verdana" w:hAnsi="Verdana" w:cs="Arial"/>
          <w:sz w:val="20"/>
          <w:szCs w:val="20"/>
        </w:rPr>
        <w:lastRenderedPageBreak/>
        <w:t>harmonogramu</w:t>
      </w:r>
      <w:r w:rsidRPr="007154F7">
        <w:rPr>
          <w:rStyle w:val="Znakapoznpodarou"/>
          <w:rFonts w:ascii="Verdana" w:hAnsi="Verdana"/>
          <w:sz w:val="20"/>
          <w:szCs w:val="20"/>
        </w:rPr>
        <w:footnoteReference w:id="3"/>
      </w:r>
      <w:r w:rsidRPr="007154F7">
        <w:rPr>
          <w:rFonts w:ascii="Verdana" w:hAnsi="Verdana" w:cs="Arial"/>
          <w:sz w:val="20"/>
          <w:szCs w:val="20"/>
        </w:rPr>
        <w:t>. Reálně bude v roce 2020 probíhat zhotovení DPS a návrhu expozic a příprava a administrace veřejných zakázek na zhotovitele stavby a realizaci expozic a dodávky vybavení. Stavební práce budou v tomto roce maximálně zahájeny, ale zahájení stavby může být posunuté až na 2021, časový prostor stanovený dotačním titulem to bez problémů umožňuje.</w:t>
      </w:r>
    </w:p>
    <w:p w:rsidR="004B6D91" w:rsidRPr="007154F7" w:rsidRDefault="004B6D91" w:rsidP="007154F7">
      <w:pPr>
        <w:spacing w:after="0"/>
        <w:jc w:val="both"/>
        <w:rPr>
          <w:rFonts w:ascii="Verdana" w:hAnsi="Verdana" w:cs="Arial"/>
          <w:sz w:val="20"/>
          <w:szCs w:val="20"/>
        </w:rPr>
      </w:pPr>
      <w:r w:rsidRPr="007154F7">
        <w:rPr>
          <w:rFonts w:ascii="Verdana" w:hAnsi="Verdana" w:cs="Arial"/>
          <w:sz w:val="20"/>
          <w:szCs w:val="20"/>
        </w:rPr>
        <w:t>Výraznější zatížení rozpočtu města výdaji projektu se tak projeví až v roce 2021, kdy proběhnou stavební práce a instalace expozic s vybavením interiérů. Pokud by to ale rozpočtové možnosti města vyžadovaly, lze tyto výdaje rozložit i do roku 2022.</w:t>
      </w:r>
      <w:r w:rsidRPr="007154F7">
        <w:rPr>
          <w:rStyle w:val="Znakapoznpodarou"/>
          <w:rFonts w:ascii="Verdana" w:hAnsi="Verdana"/>
          <w:sz w:val="20"/>
          <w:szCs w:val="20"/>
        </w:rPr>
        <w:footnoteReference w:id="4"/>
      </w:r>
    </w:p>
    <w:p w:rsidR="004B6D91" w:rsidRPr="007154F7" w:rsidRDefault="004B6D91" w:rsidP="007154F7">
      <w:pPr>
        <w:spacing w:after="0"/>
        <w:jc w:val="both"/>
        <w:rPr>
          <w:rFonts w:ascii="Verdana" w:hAnsi="Verdana" w:cs="Arial"/>
          <w:sz w:val="20"/>
          <w:szCs w:val="20"/>
        </w:rPr>
      </w:pPr>
      <w:r w:rsidRPr="007154F7">
        <w:rPr>
          <w:rFonts w:ascii="Verdana" w:hAnsi="Verdana" w:cs="Arial"/>
          <w:sz w:val="20"/>
          <w:szCs w:val="20"/>
        </w:rPr>
        <w:t xml:space="preserve">Při jednáních se zhotovitelem DPS se navíc ukazují možnosti významných úspor nezpůsobilých výdajů projektu, jejichž výše by měla být známá na jaře 2020. </w:t>
      </w:r>
    </w:p>
    <w:p w:rsidR="004B6D91" w:rsidRPr="007154F7" w:rsidRDefault="004B6D91" w:rsidP="007154F7">
      <w:pPr>
        <w:shd w:val="clear" w:color="auto" w:fill="DBE5F1" w:themeFill="accent1" w:themeFillTint="33"/>
        <w:spacing w:after="0"/>
        <w:jc w:val="both"/>
        <w:rPr>
          <w:rFonts w:ascii="Verdana" w:hAnsi="Verdana" w:cs="Arial"/>
          <w:sz w:val="20"/>
          <w:szCs w:val="20"/>
        </w:rPr>
      </w:pPr>
      <w:r w:rsidRPr="007154F7">
        <w:rPr>
          <w:rFonts w:ascii="Verdana" w:hAnsi="Verdana" w:cs="Arial"/>
          <w:b/>
          <w:sz w:val="20"/>
          <w:szCs w:val="20"/>
        </w:rPr>
        <w:t>Model č. 1: Odhad zatížení rozpočtu města v roce 2020 při realizaci projektu</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520"/>
      </w:tblGrid>
      <w:tr w:rsidR="007154F7" w:rsidRPr="007154F7" w:rsidTr="007154F7">
        <w:tc>
          <w:tcPr>
            <w:tcW w:w="2808" w:type="dxa"/>
          </w:tcPr>
          <w:p w:rsidR="004B6D91" w:rsidRPr="007154F7" w:rsidRDefault="004B6D91" w:rsidP="007154F7">
            <w:pPr>
              <w:spacing w:after="0"/>
              <w:jc w:val="both"/>
              <w:rPr>
                <w:rFonts w:ascii="Verdana" w:hAnsi="Verdana" w:cs="Arial"/>
                <w:sz w:val="20"/>
                <w:szCs w:val="20"/>
              </w:rPr>
            </w:pPr>
            <w:r w:rsidRPr="007154F7">
              <w:rPr>
                <w:rFonts w:ascii="Verdana" w:hAnsi="Verdana" w:cs="Arial"/>
                <w:sz w:val="20"/>
                <w:szCs w:val="20"/>
              </w:rPr>
              <w:t>výdaje investiční</w:t>
            </w:r>
          </w:p>
        </w:tc>
        <w:tc>
          <w:tcPr>
            <w:tcW w:w="2520" w:type="dxa"/>
          </w:tcPr>
          <w:p w:rsidR="004B6D91" w:rsidRPr="007154F7" w:rsidRDefault="004B6D91" w:rsidP="007154F7">
            <w:pPr>
              <w:spacing w:after="0"/>
              <w:jc w:val="both"/>
              <w:rPr>
                <w:rFonts w:ascii="Verdana" w:hAnsi="Verdana" w:cs="Arial"/>
                <w:sz w:val="20"/>
                <w:szCs w:val="20"/>
              </w:rPr>
            </w:pPr>
            <w:r w:rsidRPr="007154F7">
              <w:rPr>
                <w:rFonts w:ascii="Verdana" w:hAnsi="Verdana" w:cs="Arial"/>
                <w:sz w:val="20"/>
                <w:szCs w:val="20"/>
              </w:rPr>
              <w:t>- 2.000.000,- Kč</w:t>
            </w:r>
          </w:p>
        </w:tc>
      </w:tr>
      <w:tr w:rsidR="007154F7" w:rsidRPr="007154F7" w:rsidTr="007154F7">
        <w:tc>
          <w:tcPr>
            <w:tcW w:w="2808" w:type="dxa"/>
          </w:tcPr>
          <w:p w:rsidR="004B6D91" w:rsidRPr="007154F7" w:rsidRDefault="004B6D91" w:rsidP="007154F7">
            <w:pPr>
              <w:spacing w:after="0"/>
              <w:jc w:val="both"/>
              <w:rPr>
                <w:rFonts w:ascii="Verdana" w:hAnsi="Verdana" w:cs="Arial"/>
                <w:sz w:val="20"/>
                <w:szCs w:val="20"/>
              </w:rPr>
            </w:pPr>
            <w:r w:rsidRPr="007154F7">
              <w:rPr>
                <w:rFonts w:ascii="Verdana" w:hAnsi="Verdana" w:cs="Arial"/>
                <w:sz w:val="20"/>
                <w:szCs w:val="20"/>
              </w:rPr>
              <w:t>výdaj neinvestiční</w:t>
            </w:r>
          </w:p>
        </w:tc>
        <w:tc>
          <w:tcPr>
            <w:tcW w:w="2520" w:type="dxa"/>
          </w:tcPr>
          <w:p w:rsidR="004B6D91" w:rsidRPr="007154F7" w:rsidRDefault="004B6D91" w:rsidP="007154F7">
            <w:pPr>
              <w:spacing w:after="0"/>
              <w:jc w:val="both"/>
              <w:rPr>
                <w:rFonts w:ascii="Verdana" w:hAnsi="Verdana" w:cs="Arial"/>
                <w:sz w:val="20"/>
                <w:szCs w:val="20"/>
              </w:rPr>
            </w:pPr>
            <w:r w:rsidRPr="007154F7">
              <w:rPr>
                <w:rFonts w:ascii="Verdana" w:hAnsi="Verdana" w:cs="Arial"/>
                <w:sz w:val="20"/>
                <w:szCs w:val="20"/>
              </w:rPr>
              <w:t>- 653.000,- Kč</w:t>
            </w:r>
          </w:p>
        </w:tc>
      </w:tr>
      <w:tr w:rsidR="007154F7" w:rsidRPr="007154F7" w:rsidTr="007154F7">
        <w:tc>
          <w:tcPr>
            <w:tcW w:w="2808" w:type="dxa"/>
          </w:tcPr>
          <w:p w:rsidR="004B6D91" w:rsidRPr="007154F7" w:rsidRDefault="004B6D91" w:rsidP="007154F7">
            <w:pPr>
              <w:spacing w:after="0"/>
              <w:jc w:val="both"/>
              <w:rPr>
                <w:rFonts w:ascii="Verdana" w:hAnsi="Verdana" w:cs="Arial"/>
                <w:b/>
                <w:sz w:val="20"/>
                <w:szCs w:val="20"/>
              </w:rPr>
            </w:pPr>
            <w:r w:rsidRPr="007154F7">
              <w:rPr>
                <w:rFonts w:ascii="Verdana" w:hAnsi="Verdana" w:cs="Arial"/>
                <w:b/>
                <w:sz w:val="20"/>
                <w:szCs w:val="20"/>
              </w:rPr>
              <w:t>výdaje celkem</w:t>
            </w:r>
          </w:p>
        </w:tc>
        <w:tc>
          <w:tcPr>
            <w:tcW w:w="2520" w:type="dxa"/>
          </w:tcPr>
          <w:p w:rsidR="004B6D91" w:rsidRPr="007154F7" w:rsidRDefault="004B6D91" w:rsidP="007154F7">
            <w:pPr>
              <w:spacing w:after="0"/>
              <w:jc w:val="both"/>
              <w:rPr>
                <w:rFonts w:ascii="Verdana" w:hAnsi="Verdana" w:cs="Arial"/>
                <w:b/>
                <w:sz w:val="20"/>
                <w:szCs w:val="20"/>
              </w:rPr>
            </w:pPr>
            <w:r w:rsidRPr="007154F7">
              <w:rPr>
                <w:rFonts w:ascii="Verdana" w:hAnsi="Verdana" w:cs="Arial"/>
                <w:b/>
                <w:sz w:val="20"/>
                <w:szCs w:val="20"/>
              </w:rPr>
              <w:t>- 2.653.000</w:t>
            </w:r>
            <w:r w:rsidRPr="007154F7">
              <w:rPr>
                <w:rFonts w:ascii="Verdana" w:hAnsi="Verdana" w:cs="Arial"/>
                <w:sz w:val="20"/>
                <w:szCs w:val="20"/>
              </w:rPr>
              <w:t>,- Kč</w:t>
            </w:r>
          </w:p>
        </w:tc>
      </w:tr>
      <w:tr w:rsidR="007154F7" w:rsidRPr="007154F7" w:rsidTr="007154F7">
        <w:tc>
          <w:tcPr>
            <w:tcW w:w="2808" w:type="dxa"/>
          </w:tcPr>
          <w:p w:rsidR="004B6D91" w:rsidRPr="007154F7" w:rsidRDefault="004B6D91" w:rsidP="007154F7">
            <w:pPr>
              <w:spacing w:after="0"/>
              <w:jc w:val="both"/>
              <w:rPr>
                <w:rFonts w:ascii="Verdana" w:hAnsi="Verdana" w:cs="Arial"/>
                <w:sz w:val="20"/>
                <w:szCs w:val="20"/>
              </w:rPr>
            </w:pPr>
            <w:r w:rsidRPr="007154F7">
              <w:rPr>
                <w:rFonts w:ascii="Verdana" w:hAnsi="Verdana" w:cs="Arial"/>
                <w:sz w:val="20"/>
                <w:szCs w:val="20"/>
              </w:rPr>
              <w:t xml:space="preserve">příjem - proplacená </w:t>
            </w:r>
            <w:proofErr w:type="spellStart"/>
            <w:r w:rsidRPr="007154F7">
              <w:rPr>
                <w:rFonts w:ascii="Verdana" w:hAnsi="Verdana" w:cs="Arial"/>
                <w:sz w:val="20"/>
                <w:szCs w:val="20"/>
              </w:rPr>
              <w:t>dot</w:t>
            </w:r>
            <w:proofErr w:type="spellEnd"/>
            <w:r w:rsidRPr="007154F7">
              <w:rPr>
                <w:rFonts w:ascii="Verdana" w:hAnsi="Verdana" w:cs="Arial"/>
                <w:sz w:val="20"/>
                <w:szCs w:val="20"/>
              </w:rPr>
              <w:t>. 2ET</w:t>
            </w:r>
          </w:p>
        </w:tc>
        <w:tc>
          <w:tcPr>
            <w:tcW w:w="2520" w:type="dxa"/>
          </w:tcPr>
          <w:p w:rsidR="004B6D91" w:rsidRPr="007154F7" w:rsidRDefault="004B6D91" w:rsidP="007154F7">
            <w:pPr>
              <w:spacing w:after="0"/>
              <w:jc w:val="both"/>
              <w:rPr>
                <w:rFonts w:ascii="Verdana" w:hAnsi="Verdana" w:cs="Arial"/>
                <w:sz w:val="20"/>
                <w:szCs w:val="20"/>
              </w:rPr>
            </w:pPr>
            <w:r w:rsidRPr="007154F7">
              <w:rPr>
                <w:rFonts w:ascii="Verdana" w:hAnsi="Verdana" w:cs="Arial"/>
                <w:sz w:val="20"/>
                <w:szCs w:val="20"/>
              </w:rPr>
              <w:t>+ 2.470.000,- Kč</w:t>
            </w:r>
          </w:p>
        </w:tc>
      </w:tr>
      <w:tr w:rsidR="007154F7" w:rsidRPr="007154F7" w:rsidTr="007154F7">
        <w:tc>
          <w:tcPr>
            <w:tcW w:w="2808" w:type="dxa"/>
          </w:tcPr>
          <w:p w:rsidR="004B6D91" w:rsidRPr="007154F7" w:rsidRDefault="004B6D91" w:rsidP="007154F7">
            <w:pPr>
              <w:spacing w:after="0"/>
              <w:jc w:val="both"/>
              <w:rPr>
                <w:rFonts w:ascii="Verdana" w:hAnsi="Verdana" w:cs="Arial"/>
                <w:sz w:val="20"/>
                <w:szCs w:val="20"/>
              </w:rPr>
            </w:pPr>
            <w:r w:rsidRPr="007154F7">
              <w:rPr>
                <w:rFonts w:ascii="Verdana" w:hAnsi="Verdana" w:cs="Arial"/>
                <w:sz w:val="20"/>
                <w:szCs w:val="20"/>
              </w:rPr>
              <w:t xml:space="preserve">příjem - proplacená </w:t>
            </w:r>
            <w:proofErr w:type="spellStart"/>
            <w:r w:rsidRPr="007154F7">
              <w:rPr>
                <w:rFonts w:ascii="Verdana" w:hAnsi="Verdana" w:cs="Arial"/>
                <w:sz w:val="20"/>
                <w:szCs w:val="20"/>
              </w:rPr>
              <w:t>dot</w:t>
            </w:r>
            <w:proofErr w:type="spellEnd"/>
            <w:r w:rsidRPr="007154F7">
              <w:rPr>
                <w:rFonts w:ascii="Verdana" w:hAnsi="Verdana" w:cs="Arial"/>
                <w:sz w:val="20"/>
                <w:szCs w:val="20"/>
              </w:rPr>
              <w:t>. 3ET</w:t>
            </w:r>
          </w:p>
        </w:tc>
        <w:tc>
          <w:tcPr>
            <w:tcW w:w="2520" w:type="dxa"/>
          </w:tcPr>
          <w:p w:rsidR="004B6D91" w:rsidRPr="007154F7" w:rsidRDefault="004B6D91" w:rsidP="007154F7">
            <w:pPr>
              <w:spacing w:after="0"/>
              <w:jc w:val="both"/>
              <w:rPr>
                <w:rFonts w:ascii="Verdana" w:hAnsi="Verdana" w:cs="Arial"/>
                <w:sz w:val="20"/>
                <w:szCs w:val="20"/>
              </w:rPr>
            </w:pPr>
            <w:r w:rsidRPr="007154F7">
              <w:rPr>
                <w:rFonts w:ascii="Verdana" w:hAnsi="Verdana" w:cs="Arial"/>
                <w:sz w:val="20"/>
                <w:szCs w:val="20"/>
              </w:rPr>
              <w:t>+ 730.000,- Kč</w:t>
            </w:r>
          </w:p>
        </w:tc>
      </w:tr>
      <w:tr w:rsidR="007154F7" w:rsidRPr="007154F7" w:rsidTr="007154F7">
        <w:tc>
          <w:tcPr>
            <w:tcW w:w="2808" w:type="dxa"/>
          </w:tcPr>
          <w:p w:rsidR="004B6D91" w:rsidRPr="007154F7" w:rsidRDefault="004B6D91" w:rsidP="007154F7">
            <w:pPr>
              <w:spacing w:after="0"/>
              <w:jc w:val="both"/>
              <w:rPr>
                <w:rFonts w:ascii="Verdana" w:hAnsi="Verdana" w:cs="Arial"/>
                <w:b/>
                <w:sz w:val="20"/>
                <w:szCs w:val="20"/>
              </w:rPr>
            </w:pPr>
            <w:r w:rsidRPr="007154F7">
              <w:rPr>
                <w:rFonts w:ascii="Verdana" w:hAnsi="Verdana" w:cs="Arial"/>
                <w:b/>
                <w:sz w:val="20"/>
                <w:szCs w:val="20"/>
              </w:rPr>
              <w:t>příjmy celkem</w:t>
            </w:r>
          </w:p>
        </w:tc>
        <w:tc>
          <w:tcPr>
            <w:tcW w:w="2520" w:type="dxa"/>
          </w:tcPr>
          <w:p w:rsidR="004B6D91" w:rsidRPr="007154F7" w:rsidRDefault="004B6D91" w:rsidP="007154F7">
            <w:pPr>
              <w:spacing w:after="0"/>
              <w:jc w:val="both"/>
              <w:rPr>
                <w:rFonts w:ascii="Verdana" w:hAnsi="Verdana" w:cs="Arial"/>
                <w:b/>
                <w:sz w:val="20"/>
                <w:szCs w:val="20"/>
              </w:rPr>
            </w:pPr>
            <w:r w:rsidRPr="007154F7">
              <w:rPr>
                <w:rFonts w:ascii="Verdana" w:hAnsi="Verdana" w:cs="Arial"/>
                <w:b/>
                <w:sz w:val="20"/>
                <w:szCs w:val="20"/>
              </w:rPr>
              <w:t>+ 3.200.000,- Kč</w:t>
            </w:r>
          </w:p>
        </w:tc>
      </w:tr>
    </w:tbl>
    <w:p w:rsidR="004B6D91" w:rsidRPr="007154F7" w:rsidRDefault="004B6D91" w:rsidP="007154F7">
      <w:pPr>
        <w:spacing w:after="0"/>
        <w:ind w:firstLine="180"/>
        <w:jc w:val="both"/>
        <w:rPr>
          <w:rFonts w:ascii="Verdana" w:hAnsi="Verdana" w:cs="Arial"/>
          <w:b/>
          <w:i/>
          <w:sz w:val="20"/>
          <w:szCs w:val="20"/>
        </w:rPr>
      </w:pPr>
      <w:r w:rsidRPr="007154F7">
        <w:rPr>
          <w:rFonts w:ascii="Verdana" w:hAnsi="Verdana" w:cs="Arial"/>
          <w:b/>
          <w:i/>
          <w:sz w:val="20"/>
          <w:szCs w:val="20"/>
        </w:rPr>
        <w:t>Celková bilance: příjem města cca         + 547.000,- Kč</w:t>
      </w:r>
    </w:p>
    <w:p w:rsidR="004B6D91" w:rsidRPr="007154F7" w:rsidRDefault="004B6D91" w:rsidP="007154F7">
      <w:pPr>
        <w:spacing w:after="0"/>
        <w:jc w:val="both"/>
        <w:rPr>
          <w:rFonts w:ascii="Verdana" w:hAnsi="Verdana" w:cs="Arial"/>
          <w:sz w:val="20"/>
          <w:szCs w:val="20"/>
        </w:rPr>
      </w:pPr>
      <w:r w:rsidRPr="007154F7">
        <w:rPr>
          <w:rFonts w:ascii="Verdana" w:hAnsi="Verdana" w:cs="Arial"/>
          <w:sz w:val="20"/>
          <w:szCs w:val="20"/>
        </w:rPr>
        <w:t>V případě odstoupení od projektu</w:t>
      </w:r>
      <w:r w:rsidRPr="007154F7">
        <w:rPr>
          <w:rStyle w:val="Znakapoznpodarou"/>
          <w:rFonts w:ascii="Verdana" w:hAnsi="Verdana"/>
          <w:sz w:val="20"/>
          <w:szCs w:val="20"/>
        </w:rPr>
        <w:footnoteReference w:id="5"/>
      </w:r>
      <w:r w:rsidRPr="007154F7">
        <w:rPr>
          <w:rFonts w:ascii="Verdana" w:hAnsi="Verdana" w:cs="Arial"/>
          <w:sz w:val="20"/>
          <w:szCs w:val="20"/>
        </w:rPr>
        <w:t xml:space="preserve"> by bylo zatížením rozpočtu města ve vztahu k poskytovateli dotace v roce 2020 navýšení výdajů vrácením dosud vyplacené částky dotace plus úroků a jednak snížení příjmů o částku dotace, která má být v roce 2020 vyplacena za výdaje z roku </w:t>
      </w:r>
      <w:smartTag w:uri="urn:schemas-microsoft-com:office:smarttags" w:element="metricconverter">
        <w:smartTagPr>
          <w:attr w:name="ProductID" w:val="2018 a"/>
        </w:smartTagPr>
        <w:r w:rsidRPr="007154F7">
          <w:rPr>
            <w:rFonts w:ascii="Verdana" w:hAnsi="Verdana" w:cs="Arial"/>
            <w:sz w:val="20"/>
            <w:szCs w:val="20"/>
          </w:rPr>
          <w:t>2018 a</w:t>
        </w:r>
      </w:smartTag>
      <w:r w:rsidRPr="007154F7">
        <w:rPr>
          <w:rFonts w:ascii="Verdana" w:hAnsi="Verdana" w:cs="Arial"/>
          <w:sz w:val="20"/>
          <w:szCs w:val="20"/>
        </w:rPr>
        <w:t xml:space="preserve"> 2019. </w:t>
      </w:r>
    </w:p>
    <w:p w:rsidR="004B6D91" w:rsidRPr="007154F7" w:rsidRDefault="004B6D91" w:rsidP="007154F7">
      <w:pPr>
        <w:spacing w:after="0"/>
        <w:jc w:val="both"/>
        <w:rPr>
          <w:rFonts w:ascii="Verdana" w:hAnsi="Verdana" w:cs="Arial"/>
          <w:sz w:val="20"/>
          <w:szCs w:val="20"/>
        </w:rPr>
      </w:pPr>
      <w:r w:rsidRPr="007154F7">
        <w:rPr>
          <w:rFonts w:ascii="Verdana" w:hAnsi="Verdana" w:cs="Arial"/>
          <w:sz w:val="20"/>
          <w:szCs w:val="20"/>
        </w:rPr>
        <w:t xml:space="preserve">Dalším výdajem projektu by byla úhrada části plnění smlouvy na zhotovení DPS z celkové ceny 1.580.000 Kč plus DPH a části plnění smlouvy na zhotovení návrhu expozice z celkové ceny 416.000 Kč plus DPH. Konkrétní částky v současnosti lze pouze hrubě odhadnout. </w:t>
      </w:r>
    </w:p>
    <w:p w:rsidR="004B6D91" w:rsidRPr="007154F7" w:rsidRDefault="004B6D91" w:rsidP="007154F7">
      <w:pPr>
        <w:spacing w:after="0"/>
        <w:jc w:val="both"/>
        <w:rPr>
          <w:rFonts w:ascii="Verdana" w:hAnsi="Verdana" w:cs="Arial"/>
          <w:sz w:val="20"/>
          <w:szCs w:val="20"/>
        </w:rPr>
      </w:pPr>
      <w:r w:rsidRPr="007154F7">
        <w:rPr>
          <w:rFonts w:ascii="Verdana" w:hAnsi="Verdana" w:cs="Arial"/>
          <w:sz w:val="20"/>
          <w:szCs w:val="20"/>
        </w:rPr>
        <w:t xml:space="preserve">Perspektivně by další zátěží rozpočtu města bylo řešení prostor Galerie Felixe </w:t>
      </w:r>
      <w:proofErr w:type="spellStart"/>
      <w:r w:rsidRPr="007154F7">
        <w:rPr>
          <w:rFonts w:ascii="Verdana" w:hAnsi="Verdana" w:cs="Arial"/>
          <w:sz w:val="20"/>
          <w:szCs w:val="20"/>
        </w:rPr>
        <w:t>Jeneweina</w:t>
      </w:r>
      <w:proofErr w:type="spellEnd"/>
      <w:r w:rsidRPr="007154F7">
        <w:rPr>
          <w:rFonts w:ascii="Verdana" w:hAnsi="Verdana" w:cs="Arial"/>
          <w:sz w:val="20"/>
          <w:szCs w:val="20"/>
        </w:rPr>
        <w:t xml:space="preserve"> a obnova dvorního domku. Záměrem projektu od počátku nebyla jenom obnova Sankturinovského paláce a oprava zchátralého dvorního domku, ale využití dotace na vytvoření důstojného a moderně vybaveného zázemí GFJ v těchto objektech a modernizaci části Informačního centra v přízemí.</w:t>
      </w:r>
    </w:p>
    <w:p w:rsidR="004B6D91" w:rsidRPr="007154F7" w:rsidRDefault="004B6D91" w:rsidP="007154F7">
      <w:pPr>
        <w:shd w:val="clear" w:color="auto" w:fill="DBE5F1" w:themeFill="accent1" w:themeFillTint="33"/>
        <w:spacing w:after="0"/>
        <w:jc w:val="both"/>
        <w:rPr>
          <w:rFonts w:ascii="Verdana" w:hAnsi="Verdana" w:cs="Arial"/>
          <w:sz w:val="20"/>
          <w:szCs w:val="20"/>
        </w:rPr>
      </w:pPr>
      <w:r w:rsidRPr="007154F7">
        <w:rPr>
          <w:rFonts w:ascii="Verdana" w:hAnsi="Verdana" w:cs="Arial"/>
          <w:b/>
          <w:sz w:val="20"/>
          <w:szCs w:val="20"/>
        </w:rPr>
        <w:t xml:space="preserve">Model č. 2: Odhad zatížení rozpočtu v roce 2020 při odstoupení od projektu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1620"/>
      </w:tblGrid>
      <w:tr w:rsidR="007154F7" w:rsidRPr="007154F7" w:rsidTr="007154F7">
        <w:tc>
          <w:tcPr>
            <w:tcW w:w="5508" w:type="dxa"/>
          </w:tcPr>
          <w:p w:rsidR="004B6D91" w:rsidRPr="007154F7" w:rsidRDefault="004B6D91" w:rsidP="007154F7">
            <w:pPr>
              <w:spacing w:after="0"/>
              <w:jc w:val="both"/>
              <w:rPr>
                <w:rFonts w:ascii="Verdana" w:hAnsi="Verdana" w:cs="Arial"/>
                <w:sz w:val="20"/>
                <w:szCs w:val="20"/>
              </w:rPr>
            </w:pPr>
            <w:r w:rsidRPr="007154F7">
              <w:rPr>
                <w:rFonts w:ascii="Verdana" w:hAnsi="Verdana" w:cs="Arial"/>
                <w:sz w:val="20"/>
                <w:szCs w:val="20"/>
              </w:rPr>
              <w:t xml:space="preserve">výdaj - vratka vyplacené dotace </w:t>
            </w:r>
          </w:p>
        </w:tc>
        <w:tc>
          <w:tcPr>
            <w:tcW w:w="1620" w:type="dxa"/>
          </w:tcPr>
          <w:p w:rsidR="004B6D91" w:rsidRPr="007154F7" w:rsidRDefault="004B6D91" w:rsidP="007154F7">
            <w:pPr>
              <w:spacing w:after="0"/>
              <w:jc w:val="both"/>
              <w:rPr>
                <w:rFonts w:ascii="Verdana" w:hAnsi="Verdana" w:cs="Arial"/>
                <w:sz w:val="20"/>
                <w:szCs w:val="20"/>
              </w:rPr>
            </w:pPr>
            <w:r w:rsidRPr="007154F7">
              <w:rPr>
                <w:rFonts w:ascii="Verdana" w:hAnsi="Verdana" w:cs="Arial"/>
                <w:sz w:val="20"/>
                <w:szCs w:val="20"/>
              </w:rPr>
              <w:t>- 708.000,- Kč</w:t>
            </w:r>
          </w:p>
        </w:tc>
      </w:tr>
      <w:tr w:rsidR="007154F7" w:rsidRPr="007154F7" w:rsidTr="007154F7">
        <w:tc>
          <w:tcPr>
            <w:tcW w:w="5508" w:type="dxa"/>
          </w:tcPr>
          <w:p w:rsidR="004B6D91" w:rsidRPr="007154F7" w:rsidRDefault="004B6D91" w:rsidP="007154F7">
            <w:pPr>
              <w:spacing w:after="0"/>
              <w:jc w:val="both"/>
              <w:rPr>
                <w:rFonts w:ascii="Verdana" w:hAnsi="Verdana" w:cs="Arial"/>
                <w:sz w:val="20"/>
                <w:szCs w:val="20"/>
              </w:rPr>
            </w:pPr>
            <w:r w:rsidRPr="007154F7">
              <w:rPr>
                <w:rFonts w:ascii="Verdana" w:hAnsi="Verdana" w:cs="Arial"/>
                <w:sz w:val="20"/>
                <w:szCs w:val="20"/>
              </w:rPr>
              <w:t>výdaj - odstoupením od smluv na DPS a PD expozice</w:t>
            </w:r>
            <w:r w:rsidRPr="007154F7">
              <w:rPr>
                <w:rFonts w:ascii="Verdana" w:hAnsi="Verdana" w:cs="Arial"/>
                <w:sz w:val="20"/>
                <w:szCs w:val="20"/>
                <w:vertAlign w:val="superscript"/>
              </w:rPr>
              <w:footnoteReference w:id="6"/>
            </w:r>
          </w:p>
        </w:tc>
        <w:tc>
          <w:tcPr>
            <w:tcW w:w="1620" w:type="dxa"/>
          </w:tcPr>
          <w:p w:rsidR="004B6D91" w:rsidRPr="007154F7" w:rsidRDefault="004B6D91" w:rsidP="007154F7">
            <w:pPr>
              <w:spacing w:after="0"/>
              <w:jc w:val="both"/>
              <w:rPr>
                <w:rFonts w:ascii="Verdana" w:hAnsi="Verdana" w:cs="Arial"/>
                <w:sz w:val="20"/>
                <w:szCs w:val="20"/>
              </w:rPr>
            </w:pPr>
            <w:r w:rsidRPr="007154F7">
              <w:rPr>
                <w:rFonts w:ascii="Verdana" w:hAnsi="Verdana" w:cs="Arial"/>
                <w:sz w:val="20"/>
                <w:szCs w:val="20"/>
              </w:rPr>
              <w:t>- 600.000,- Kč</w:t>
            </w:r>
          </w:p>
        </w:tc>
      </w:tr>
      <w:tr w:rsidR="007154F7" w:rsidRPr="007154F7" w:rsidTr="007154F7">
        <w:tc>
          <w:tcPr>
            <w:tcW w:w="5508" w:type="dxa"/>
          </w:tcPr>
          <w:p w:rsidR="004B6D91" w:rsidRPr="007154F7" w:rsidRDefault="004B6D91" w:rsidP="007154F7">
            <w:pPr>
              <w:spacing w:after="0"/>
              <w:jc w:val="both"/>
              <w:rPr>
                <w:rFonts w:ascii="Verdana" w:hAnsi="Verdana" w:cs="Arial"/>
                <w:sz w:val="20"/>
                <w:szCs w:val="20"/>
              </w:rPr>
            </w:pPr>
            <w:r w:rsidRPr="007154F7">
              <w:rPr>
                <w:rFonts w:ascii="Verdana" w:hAnsi="Verdana" w:cs="Arial"/>
                <w:sz w:val="20"/>
                <w:szCs w:val="20"/>
              </w:rPr>
              <w:t>výdaj - úroky z již čerpané dotace za 1ET</w:t>
            </w:r>
            <w:r w:rsidRPr="007154F7">
              <w:rPr>
                <w:rFonts w:ascii="Verdana" w:hAnsi="Verdana" w:cs="Arial"/>
                <w:sz w:val="20"/>
                <w:szCs w:val="20"/>
                <w:vertAlign w:val="superscript"/>
              </w:rPr>
              <w:footnoteReference w:id="7"/>
            </w:r>
          </w:p>
        </w:tc>
        <w:tc>
          <w:tcPr>
            <w:tcW w:w="1620" w:type="dxa"/>
          </w:tcPr>
          <w:p w:rsidR="004B6D91" w:rsidRPr="007154F7" w:rsidRDefault="004B6D91" w:rsidP="007154F7">
            <w:pPr>
              <w:spacing w:after="0"/>
              <w:jc w:val="both"/>
              <w:rPr>
                <w:rFonts w:ascii="Verdana" w:hAnsi="Verdana" w:cs="Arial"/>
                <w:sz w:val="20"/>
                <w:szCs w:val="20"/>
              </w:rPr>
            </w:pPr>
            <w:r w:rsidRPr="007154F7">
              <w:rPr>
                <w:rFonts w:ascii="Verdana" w:hAnsi="Verdana" w:cs="Arial"/>
                <w:sz w:val="20"/>
                <w:szCs w:val="20"/>
              </w:rPr>
              <w:t>- 25.000,- Kč</w:t>
            </w:r>
          </w:p>
        </w:tc>
      </w:tr>
      <w:tr w:rsidR="007154F7" w:rsidRPr="007154F7" w:rsidTr="007154F7">
        <w:tc>
          <w:tcPr>
            <w:tcW w:w="5508" w:type="dxa"/>
          </w:tcPr>
          <w:p w:rsidR="004B6D91" w:rsidRPr="007154F7" w:rsidRDefault="004B6D91" w:rsidP="007154F7">
            <w:pPr>
              <w:spacing w:after="0"/>
              <w:jc w:val="both"/>
              <w:rPr>
                <w:rFonts w:ascii="Verdana" w:hAnsi="Verdana" w:cs="Arial"/>
                <w:sz w:val="20"/>
                <w:szCs w:val="20"/>
              </w:rPr>
            </w:pPr>
            <w:r w:rsidRPr="007154F7">
              <w:rPr>
                <w:rFonts w:ascii="Verdana" w:hAnsi="Verdana" w:cs="Arial"/>
                <w:sz w:val="20"/>
                <w:szCs w:val="20"/>
              </w:rPr>
              <w:t>výdaj - spoluúčast 1ET a 2ET</w:t>
            </w:r>
          </w:p>
        </w:tc>
        <w:tc>
          <w:tcPr>
            <w:tcW w:w="1620" w:type="dxa"/>
          </w:tcPr>
          <w:p w:rsidR="004B6D91" w:rsidRPr="007154F7" w:rsidRDefault="004B6D91" w:rsidP="007154F7">
            <w:pPr>
              <w:spacing w:after="0"/>
              <w:jc w:val="both"/>
              <w:rPr>
                <w:rFonts w:ascii="Verdana" w:hAnsi="Verdana" w:cs="Arial"/>
                <w:sz w:val="20"/>
                <w:szCs w:val="20"/>
              </w:rPr>
            </w:pPr>
            <w:r w:rsidRPr="007154F7">
              <w:rPr>
                <w:rFonts w:ascii="Verdana" w:hAnsi="Verdana" w:cs="Arial"/>
                <w:sz w:val="20"/>
                <w:szCs w:val="20"/>
              </w:rPr>
              <w:t>- 180.000,- Kč</w:t>
            </w:r>
          </w:p>
        </w:tc>
      </w:tr>
      <w:tr w:rsidR="007154F7" w:rsidRPr="007154F7" w:rsidTr="007154F7">
        <w:tc>
          <w:tcPr>
            <w:tcW w:w="5508" w:type="dxa"/>
          </w:tcPr>
          <w:p w:rsidR="004B6D91" w:rsidRPr="007154F7" w:rsidRDefault="004B6D91" w:rsidP="007154F7">
            <w:pPr>
              <w:spacing w:after="0"/>
              <w:jc w:val="both"/>
              <w:rPr>
                <w:rFonts w:ascii="Verdana" w:hAnsi="Verdana" w:cs="Arial"/>
                <w:sz w:val="20"/>
                <w:szCs w:val="20"/>
              </w:rPr>
            </w:pPr>
            <w:r w:rsidRPr="007154F7">
              <w:rPr>
                <w:rFonts w:ascii="Verdana" w:hAnsi="Verdana" w:cs="Arial"/>
                <w:sz w:val="20"/>
                <w:szCs w:val="20"/>
              </w:rPr>
              <w:lastRenderedPageBreak/>
              <w:t xml:space="preserve">ztráta příjmu -  neproplacená dotace za září 2018 až 2019 </w:t>
            </w:r>
          </w:p>
        </w:tc>
        <w:tc>
          <w:tcPr>
            <w:tcW w:w="1620" w:type="dxa"/>
          </w:tcPr>
          <w:p w:rsidR="004B6D91" w:rsidRPr="007154F7" w:rsidRDefault="004B6D91" w:rsidP="007154F7">
            <w:pPr>
              <w:spacing w:after="0"/>
              <w:jc w:val="both"/>
              <w:rPr>
                <w:rFonts w:ascii="Verdana" w:hAnsi="Verdana" w:cs="Arial"/>
                <w:sz w:val="20"/>
                <w:szCs w:val="20"/>
              </w:rPr>
            </w:pPr>
            <w:r w:rsidRPr="007154F7">
              <w:rPr>
                <w:rFonts w:ascii="Verdana" w:hAnsi="Verdana" w:cs="Arial"/>
                <w:sz w:val="20"/>
                <w:szCs w:val="20"/>
              </w:rPr>
              <w:t>- 927.000,- Kč</w:t>
            </w:r>
          </w:p>
        </w:tc>
      </w:tr>
    </w:tbl>
    <w:p w:rsidR="004B6D91" w:rsidRPr="007154F7" w:rsidRDefault="004B6D91" w:rsidP="007154F7">
      <w:pPr>
        <w:tabs>
          <w:tab w:val="right" w:pos="6917"/>
        </w:tabs>
        <w:spacing w:after="0"/>
        <w:jc w:val="both"/>
        <w:rPr>
          <w:rFonts w:ascii="Verdana" w:hAnsi="Verdana" w:cs="Arial"/>
          <w:b/>
          <w:i/>
          <w:sz w:val="20"/>
          <w:szCs w:val="20"/>
        </w:rPr>
      </w:pPr>
      <w:proofErr w:type="spellStart"/>
      <w:r w:rsidRPr="007154F7">
        <w:rPr>
          <w:rFonts w:ascii="Verdana" w:hAnsi="Verdana" w:cs="Arial"/>
          <w:b/>
          <w:i/>
          <w:sz w:val="20"/>
          <w:szCs w:val="20"/>
        </w:rPr>
        <w:t>Bilance:“ztráta</w:t>
      </w:r>
      <w:proofErr w:type="spellEnd"/>
      <w:r w:rsidRPr="007154F7">
        <w:rPr>
          <w:rFonts w:ascii="Verdana" w:hAnsi="Verdana" w:cs="Arial"/>
          <w:b/>
          <w:i/>
          <w:sz w:val="20"/>
          <w:szCs w:val="20"/>
        </w:rPr>
        <w:t xml:space="preserve">“ </w:t>
      </w:r>
      <w:r w:rsidRPr="007154F7">
        <w:rPr>
          <w:rFonts w:ascii="Verdana" w:hAnsi="Verdana" w:cs="Arial"/>
          <w:b/>
          <w:i/>
          <w:sz w:val="20"/>
          <w:szCs w:val="20"/>
        </w:rPr>
        <w:tab/>
        <w:t xml:space="preserve"> - 2.440.000,- Kč</w:t>
      </w:r>
    </w:p>
    <w:p w:rsidR="004B6D91" w:rsidRPr="007154F7" w:rsidRDefault="004B6D91" w:rsidP="007154F7">
      <w:pPr>
        <w:tabs>
          <w:tab w:val="right" w:pos="6917"/>
        </w:tabs>
        <w:spacing w:after="0"/>
        <w:jc w:val="both"/>
        <w:rPr>
          <w:rFonts w:ascii="Verdana" w:hAnsi="Verdana" w:cs="Arial"/>
          <w:b/>
          <w:sz w:val="20"/>
          <w:szCs w:val="20"/>
        </w:rPr>
      </w:pPr>
      <w:r w:rsidRPr="007154F7">
        <w:rPr>
          <w:rFonts w:ascii="Verdana" w:hAnsi="Verdana" w:cs="Arial"/>
          <w:b/>
          <w:i/>
          <w:sz w:val="20"/>
          <w:szCs w:val="20"/>
        </w:rPr>
        <w:t>Bilance: přímý vliv na rozpočet 2020</w:t>
      </w:r>
      <w:r w:rsidRPr="007154F7">
        <w:rPr>
          <w:rStyle w:val="Znakapoznpodarou"/>
          <w:rFonts w:ascii="Verdana" w:hAnsi="Verdana"/>
          <w:i/>
          <w:sz w:val="20"/>
          <w:szCs w:val="20"/>
        </w:rPr>
        <w:footnoteReference w:id="8"/>
      </w:r>
      <w:r w:rsidRPr="007154F7">
        <w:rPr>
          <w:rFonts w:ascii="Verdana" w:hAnsi="Verdana" w:cs="Arial"/>
          <w:b/>
          <w:i/>
          <w:sz w:val="20"/>
          <w:szCs w:val="20"/>
        </w:rPr>
        <w:tab/>
        <w:t>- 2.260.000,- Kč</w:t>
      </w:r>
    </w:p>
    <w:p w:rsidR="004B6D91" w:rsidRPr="007154F7" w:rsidRDefault="004B6D91" w:rsidP="007154F7">
      <w:pPr>
        <w:tabs>
          <w:tab w:val="right" w:pos="6917"/>
        </w:tabs>
        <w:spacing w:after="0"/>
        <w:jc w:val="both"/>
        <w:rPr>
          <w:rFonts w:ascii="Verdana" w:hAnsi="Verdana" w:cs="Arial"/>
          <w:sz w:val="20"/>
          <w:szCs w:val="20"/>
        </w:rPr>
      </w:pPr>
      <w:r w:rsidRPr="007154F7">
        <w:rPr>
          <w:rFonts w:ascii="Verdana" w:hAnsi="Verdana" w:cs="Arial"/>
          <w:sz w:val="20"/>
          <w:szCs w:val="20"/>
        </w:rPr>
        <w:t xml:space="preserve">Pozn.: Model č. 2 zároveň představuje výši tzv. </w:t>
      </w:r>
      <w:r w:rsidRPr="007154F7">
        <w:rPr>
          <w:rFonts w:ascii="Verdana" w:hAnsi="Verdana" w:cs="Arial"/>
          <w:i/>
          <w:sz w:val="20"/>
          <w:szCs w:val="20"/>
        </w:rPr>
        <w:t>zmařené investice</w:t>
      </w:r>
      <w:r w:rsidRPr="007154F7">
        <w:rPr>
          <w:rFonts w:ascii="Verdana" w:hAnsi="Verdana" w:cs="Arial"/>
          <w:sz w:val="20"/>
          <w:szCs w:val="20"/>
        </w:rPr>
        <w:t>, tzn. výdajů, které již byly proplaceny, ale nevedly ke stanovenému cíli, tedy byly zmařeny.</w:t>
      </w:r>
    </w:p>
    <w:p w:rsidR="004B6D91" w:rsidRPr="007154F7" w:rsidRDefault="004B6D91" w:rsidP="007154F7">
      <w:pPr>
        <w:pStyle w:val="Zhlav"/>
        <w:shd w:val="clear" w:color="auto" w:fill="FFFFFF"/>
        <w:spacing w:line="276" w:lineRule="auto"/>
        <w:jc w:val="both"/>
        <w:rPr>
          <w:rFonts w:ascii="Verdana" w:hAnsi="Verdana"/>
          <w:sz w:val="20"/>
          <w:szCs w:val="20"/>
        </w:rPr>
      </w:pPr>
      <w:r w:rsidRPr="007154F7">
        <w:rPr>
          <w:rFonts w:ascii="Verdana" w:hAnsi="Verdana"/>
          <w:sz w:val="20"/>
          <w:szCs w:val="20"/>
        </w:rPr>
        <w:t xml:space="preserve">Předseda všem poděkoval za účast. </w:t>
      </w:r>
    </w:p>
    <w:p w:rsidR="004B6D91" w:rsidRPr="007154F7" w:rsidRDefault="004B6D91" w:rsidP="007154F7">
      <w:pPr>
        <w:pStyle w:val="Zhlav"/>
        <w:shd w:val="clear" w:color="auto" w:fill="FFFFFF"/>
        <w:spacing w:line="276" w:lineRule="auto"/>
        <w:jc w:val="both"/>
        <w:rPr>
          <w:rFonts w:ascii="Verdana" w:hAnsi="Verdana"/>
          <w:sz w:val="20"/>
          <w:szCs w:val="20"/>
        </w:rPr>
      </w:pPr>
    </w:p>
    <w:p w:rsidR="004B6D91" w:rsidRPr="007154F7" w:rsidRDefault="004B6D91" w:rsidP="007154F7">
      <w:pPr>
        <w:pStyle w:val="Zhlav"/>
        <w:shd w:val="clear" w:color="auto" w:fill="FFFFFF"/>
        <w:spacing w:line="276" w:lineRule="auto"/>
        <w:jc w:val="both"/>
        <w:rPr>
          <w:rFonts w:ascii="Verdana" w:hAnsi="Verdana"/>
          <w:sz w:val="20"/>
          <w:szCs w:val="20"/>
        </w:rPr>
      </w:pPr>
      <w:r w:rsidRPr="007154F7">
        <w:rPr>
          <w:rFonts w:ascii="Verdana" w:hAnsi="Verdana"/>
          <w:sz w:val="20"/>
          <w:szCs w:val="20"/>
        </w:rPr>
        <w:t>Zprávu napsala: Monika Bulánková</w:t>
      </w:r>
    </w:p>
    <w:p w:rsidR="004B6D91" w:rsidRPr="007154F7" w:rsidRDefault="004B6D91" w:rsidP="007154F7">
      <w:pPr>
        <w:pStyle w:val="Zhlav"/>
        <w:shd w:val="clear" w:color="auto" w:fill="FFFFFF"/>
        <w:spacing w:line="276" w:lineRule="auto"/>
        <w:jc w:val="both"/>
        <w:rPr>
          <w:rFonts w:ascii="Verdana" w:hAnsi="Verdana"/>
          <w:sz w:val="20"/>
          <w:szCs w:val="20"/>
        </w:rPr>
      </w:pPr>
      <w:r w:rsidRPr="007154F7">
        <w:rPr>
          <w:rFonts w:ascii="Verdana" w:hAnsi="Verdana"/>
          <w:sz w:val="20"/>
          <w:szCs w:val="20"/>
        </w:rPr>
        <w:t>Ověřili a doplnili: přítomní členové FV</w:t>
      </w:r>
    </w:p>
    <w:p w:rsidR="00A63B86" w:rsidRPr="007154F7" w:rsidRDefault="00A63B86" w:rsidP="007154F7">
      <w:pPr>
        <w:spacing w:after="0"/>
        <w:jc w:val="both"/>
        <w:rPr>
          <w:rFonts w:ascii="Verdana" w:hAnsi="Verdana"/>
          <w:sz w:val="20"/>
          <w:szCs w:val="20"/>
        </w:rPr>
      </w:pPr>
    </w:p>
    <w:p w:rsidR="00335172" w:rsidRPr="007154F7" w:rsidRDefault="00335172" w:rsidP="007154F7">
      <w:pPr>
        <w:spacing w:after="0"/>
        <w:jc w:val="both"/>
        <w:rPr>
          <w:rFonts w:ascii="Verdana" w:hAnsi="Verdana"/>
          <w:b/>
          <w:sz w:val="20"/>
          <w:szCs w:val="20"/>
          <w:u w:val="single"/>
        </w:rPr>
      </w:pPr>
      <w:r w:rsidRPr="007154F7">
        <w:rPr>
          <w:rFonts w:ascii="Verdana" w:hAnsi="Verdana"/>
          <w:b/>
          <w:sz w:val="20"/>
          <w:szCs w:val="20"/>
          <w:u w:val="single"/>
        </w:rPr>
        <w:t>Odbor správy majetku</w:t>
      </w:r>
    </w:p>
    <w:p w:rsidR="00A63B86" w:rsidRPr="007154F7" w:rsidRDefault="00A63B86" w:rsidP="007154F7">
      <w:pPr>
        <w:pStyle w:val="Bezmezer"/>
        <w:spacing w:line="276" w:lineRule="auto"/>
        <w:jc w:val="both"/>
        <w:rPr>
          <w:rFonts w:ascii="Verdana" w:hAnsi="Verdana"/>
          <w:b/>
          <w:sz w:val="20"/>
          <w:szCs w:val="20"/>
        </w:rPr>
      </w:pPr>
      <w:r w:rsidRPr="007154F7">
        <w:rPr>
          <w:rFonts w:ascii="Verdana" w:hAnsi="Verdana"/>
          <w:b/>
          <w:sz w:val="20"/>
          <w:szCs w:val="20"/>
        </w:rPr>
        <w:t>3/01  Rozpočtové opatření OSM č. 2/20</w:t>
      </w:r>
    </w:p>
    <w:p w:rsidR="00A63B86" w:rsidRPr="007154F7" w:rsidRDefault="00A63B86" w:rsidP="007154F7">
      <w:pPr>
        <w:spacing w:after="0"/>
        <w:jc w:val="both"/>
        <w:rPr>
          <w:rFonts w:ascii="Verdana" w:eastAsia="Times New Roman" w:hAnsi="Verdana" w:cs="Times New Roman"/>
          <w:sz w:val="20"/>
          <w:szCs w:val="20"/>
          <w:lang w:eastAsia="cs-CZ"/>
        </w:rPr>
      </w:pPr>
      <w:r w:rsidRPr="007154F7">
        <w:rPr>
          <w:rFonts w:ascii="Verdana" w:hAnsi="Verdana"/>
          <w:sz w:val="20"/>
          <w:szCs w:val="20"/>
        </w:rPr>
        <w:t>Návrh na rozpočtovou změnu spočívající v navýšení investiční položky Zimní stadion – investice, které bude dodatečně kryto zapojením finančního zůstatku z roku 2019. V případě odsouhlasení bude možné provést odstranění kondenzace vzdušné vlhkosti na nosné střešní konstrukci nad ledovou plochou.</w:t>
      </w:r>
    </w:p>
    <w:p w:rsidR="007154F7" w:rsidRDefault="007154F7" w:rsidP="007154F7">
      <w:pPr>
        <w:pStyle w:val="Bezmezer"/>
        <w:spacing w:line="276" w:lineRule="auto"/>
        <w:jc w:val="both"/>
        <w:rPr>
          <w:rFonts w:ascii="Verdana" w:hAnsi="Verdana"/>
          <w:b/>
          <w:sz w:val="20"/>
          <w:szCs w:val="20"/>
        </w:rPr>
      </w:pPr>
    </w:p>
    <w:p w:rsidR="00A63B86" w:rsidRPr="007154F7" w:rsidRDefault="00A63B86" w:rsidP="007154F7">
      <w:pPr>
        <w:pStyle w:val="Bezmezer"/>
        <w:spacing w:line="276" w:lineRule="auto"/>
        <w:jc w:val="both"/>
        <w:rPr>
          <w:rFonts w:ascii="Verdana" w:hAnsi="Verdana"/>
          <w:b/>
          <w:sz w:val="20"/>
          <w:szCs w:val="20"/>
        </w:rPr>
      </w:pPr>
      <w:r w:rsidRPr="007154F7">
        <w:rPr>
          <w:rFonts w:ascii="Verdana" w:hAnsi="Verdana"/>
          <w:b/>
          <w:sz w:val="20"/>
          <w:szCs w:val="20"/>
        </w:rPr>
        <w:t>3/02</w:t>
      </w:r>
      <w:r w:rsidRPr="007154F7">
        <w:rPr>
          <w:rFonts w:ascii="Verdana" w:hAnsi="Verdana"/>
          <w:sz w:val="20"/>
          <w:szCs w:val="20"/>
        </w:rPr>
        <w:tab/>
      </w:r>
      <w:r w:rsidRPr="007154F7">
        <w:rPr>
          <w:rFonts w:ascii="Verdana" w:hAnsi="Verdana"/>
          <w:b/>
          <w:sz w:val="20"/>
          <w:szCs w:val="20"/>
        </w:rPr>
        <w:t>Rozpočtové opatření OSM č. 3/20</w:t>
      </w:r>
    </w:p>
    <w:p w:rsidR="00A63B86" w:rsidRPr="007154F7" w:rsidRDefault="00A63B86" w:rsidP="007154F7">
      <w:pPr>
        <w:spacing w:after="0"/>
        <w:jc w:val="both"/>
        <w:rPr>
          <w:rFonts w:ascii="Verdana" w:eastAsia="Times New Roman" w:hAnsi="Verdana" w:cs="Times New Roman"/>
          <w:sz w:val="20"/>
          <w:szCs w:val="20"/>
          <w:lang w:eastAsia="cs-CZ"/>
        </w:rPr>
      </w:pPr>
      <w:r w:rsidRPr="007154F7">
        <w:rPr>
          <w:rFonts w:ascii="Verdana" w:hAnsi="Verdana"/>
          <w:sz w:val="20"/>
          <w:szCs w:val="20"/>
        </w:rPr>
        <w:t xml:space="preserve">Návrh na rozpočtovou změnu spočívající ve zřízení nové výdajové položky Zelenkova vila – oprava oken, jejíž výše bude dodatečně kryta zapojením finančního zůstatku z roku 2019. V případě odsouhlasení této nové nákladové položky bude možné u tohoto významného  architektonického objektu realizovat opravu původních oken včetně jejich detailů.  </w:t>
      </w:r>
    </w:p>
    <w:p w:rsidR="007154F7" w:rsidRDefault="007154F7" w:rsidP="007154F7">
      <w:pPr>
        <w:spacing w:after="0"/>
        <w:jc w:val="both"/>
        <w:rPr>
          <w:rFonts w:ascii="Verdana" w:hAnsi="Verdana"/>
          <w:b/>
          <w:sz w:val="20"/>
          <w:szCs w:val="20"/>
        </w:rPr>
      </w:pPr>
    </w:p>
    <w:p w:rsidR="00A63B86" w:rsidRPr="007154F7" w:rsidRDefault="00A63B86" w:rsidP="007154F7">
      <w:pPr>
        <w:spacing w:after="0"/>
        <w:jc w:val="both"/>
        <w:rPr>
          <w:rFonts w:ascii="Verdana" w:hAnsi="Verdana"/>
          <w:b/>
          <w:sz w:val="20"/>
          <w:szCs w:val="20"/>
        </w:rPr>
      </w:pPr>
      <w:r w:rsidRPr="007154F7">
        <w:rPr>
          <w:rFonts w:ascii="Verdana" w:hAnsi="Verdana"/>
          <w:b/>
          <w:sz w:val="20"/>
          <w:szCs w:val="20"/>
        </w:rPr>
        <w:t>3/03 Znění smlouvy o převodu pozemků v Kutné Hoře (ČR – ÚZSVM)</w:t>
      </w:r>
    </w:p>
    <w:p w:rsidR="00A63B86" w:rsidRPr="007154F7" w:rsidRDefault="00A63B86" w:rsidP="007154F7">
      <w:pPr>
        <w:spacing w:after="0"/>
        <w:jc w:val="both"/>
        <w:rPr>
          <w:rFonts w:ascii="Verdana" w:hAnsi="Verdana"/>
          <w:sz w:val="20"/>
          <w:szCs w:val="20"/>
        </w:rPr>
      </w:pPr>
      <w:r w:rsidRPr="007154F7">
        <w:rPr>
          <w:rFonts w:ascii="Verdana" w:hAnsi="Verdana"/>
          <w:sz w:val="20"/>
          <w:szCs w:val="20"/>
        </w:rPr>
        <w:t>ÚZSVM převádí městu pozemky</w:t>
      </w:r>
      <w:r w:rsidRPr="007154F7">
        <w:rPr>
          <w:rFonts w:ascii="Verdana" w:hAnsi="Verdana"/>
          <w:b/>
          <w:sz w:val="20"/>
          <w:szCs w:val="20"/>
        </w:rPr>
        <w:t xml:space="preserve"> </w:t>
      </w:r>
      <w:r w:rsidRPr="007154F7">
        <w:rPr>
          <w:rFonts w:ascii="Verdana" w:hAnsi="Verdana"/>
          <w:sz w:val="20"/>
          <w:szCs w:val="20"/>
        </w:rPr>
        <w:t xml:space="preserve">v Masarykově ulici v Kutné Hoře s omezujícími podmínkami a se zřízením věcného práva, které spočívá v závazku města nezcizit nebo nezatížit převáděný majetek po dobu 10 let.   </w:t>
      </w:r>
    </w:p>
    <w:p w:rsidR="007154F7" w:rsidRDefault="007154F7" w:rsidP="007154F7">
      <w:pPr>
        <w:pStyle w:val="Bezmezer"/>
        <w:spacing w:line="276" w:lineRule="auto"/>
        <w:jc w:val="both"/>
        <w:rPr>
          <w:rFonts w:ascii="Verdana" w:hAnsi="Verdana"/>
          <w:b/>
          <w:sz w:val="20"/>
          <w:szCs w:val="20"/>
        </w:rPr>
      </w:pPr>
    </w:p>
    <w:p w:rsidR="00A63B86" w:rsidRPr="007154F7" w:rsidRDefault="00A63B86" w:rsidP="007154F7">
      <w:pPr>
        <w:pStyle w:val="Bezmezer"/>
        <w:spacing w:line="276" w:lineRule="auto"/>
        <w:jc w:val="both"/>
        <w:rPr>
          <w:rFonts w:ascii="Verdana" w:hAnsi="Verdana"/>
          <w:b/>
          <w:sz w:val="20"/>
          <w:szCs w:val="20"/>
        </w:rPr>
      </w:pPr>
      <w:r w:rsidRPr="007154F7">
        <w:rPr>
          <w:rFonts w:ascii="Verdana" w:hAnsi="Verdana"/>
          <w:b/>
          <w:sz w:val="20"/>
          <w:szCs w:val="20"/>
        </w:rPr>
        <w:t>3/04 Bezúplatné nabytí části pozemku v Kutné Hoře (ČR – ÚZSVM)</w:t>
      </w:r>
    </w:p>
    <w:p w:rsidR="00A63B86" w:rsidRPr="007154F7" w:rsidRDefault="00A63B86" w:rsidP="007154F7">
      <w:pPr>
        <w:pStyle w:val="Bezmezer"/>
        <w:spacing w:line="276" w:lineRule="auto"/>
        <w:jc w:val="both"/>
        <w:rPr>
          <w:rFonts w:ascii="Verdana" w:hAnsi="Verdana"/>
          <w:sz w:val="20"/>
          <w:szCs w:val="20"/>
        </w:rPr>
      </w:pPr>
      <w:r w:rsidRPr="007154F7">
        <w:rPr>
          <w:rFonts w:ascii="Verdana" w:hAnsi="Verdana"/>
          <w:sz w:val="20"/>
          <w:szCs w:val="20"/>
        </w:rPr>
        <w:t xml:space="preserve">Jedná se o bezúplatné nabytí části pozemku </w:t>
      </w:r>
      <w:proofErr w:type="spellStart"/>
      <w:proofErr w:type="gramStart"/>
      <w:r w:rsidRPr="007154F7">
        <w:rPr>
          <w:rFonts w:ascii="Verdana" w:hAnsi="Verdana"/>
          <w:sz w:val="20"/>
          <w:szCs w:val="20"/>
        </w:rPr>
        <w:t>p.č</w:t>
      </w:r>
      <w:proofErr w:type="spellEnd"/>
      <w:r w:rsidRPr="007154F7">
        <w:rPr>
          <w:rFonts w:ascii="Verdana" w:hAnsi="Verdana"/>
          <w:sz w:val="20"/>
          <w:szCs w:val="20"/>
        </w:rPr>
        <w:t>.</w:t>
      </w:r>
      <w:proofErr w:type="gramEnd"/>
      <w:r w:rsidRPr="007154F7">
        <w:rPr>
          <w:rFonts w:ascii="Verdana" w:hAnsi="Verdana"/>
          <w:sz w:val="20"/>
          <w:szCs w:val="20"/>
        </w:rPr>
        <w:t xml:space="preserve"> 4221/99 (dle GPL díl „a“ o výměře 26 m2) v </w:t>
      </w:r>
      <w:proofErr w:type="spellStart"/>
      <w:r w:rsidRPr="007154F7">
        <w:rPr>
          <w:rFonts w:ascii="Verdana" w:hAnsi="Verdana"/>
          <w:sz w:val="20"/>
          <w:szCs w:val="20"/>
        </w:rPr>
        <w:t>k.ú</w:t>
      </w:r>
      <w:proofErr w:type="spellEnd"/>
      <w:r w:rsidRPr="007154F7">
        <w:rPr>
          <w:rFonts w:ascii="Verdana" w:hAnsi="Verdana"/>
          <w:sz w:val="20"/>
          <w:szCs w:val="20"/>
        </w:rPr>
        <w:t>. Kutná Hora městem od ČR – ÚZSVM pro účely výstavby nového chodníku na Karlově (směr od KK Karlov k ČKD).</w:t>
      </w:r>
    </w:p>
    <w:p w:rsidR="00A63B86" w:rsidRPr="007154F7" w:rsidRDefault="00A63B86" w:rsidP="007154F7">
      <w:pPr>
        <w:spacing w:after="0"/>
        <w:jc w:val="both"/>
        <w:rPr>
          <w:rFonts w:ascii="Verdana" w:hAnsi="Verdana"/>
          <w:b/>
          <w:sz w:val="20"/>
          <w:szCs w:val="20"/>
        </w:rPr>
      </w:pPr>
    </w:p>
    <w:p w:rsidR="00A63B86" w:rsidRPr="007154F7" w:rsidRDefault="00A63B86" w:rsidP="007154F7">
      <w:pPr>
        <w:spacing w:after="0"/>
        <w:jc w:val="both"/>
        <w:rPr>
          <w:rFonts w:ascii="Verdana" w:hAnsi="Verdana"/>
          <w:b/>
          <w:sz w:val="20"/>
          <w:szCs w:val="20"/>
        </w:rPr>
      </w:pPr>
      <w:r w:rsidRPr="007154F7">
        <w:rPr>
          <w:rFonts w:ascii="Verdana" w:hAnsi="Verdana"/>
          <w:b/>
          <w:sz w:val="20"/>
          <w:szCs w:val="20"/>
        </w:rPr>
        <w:t xml:space="preserve">3/05 Smluvní zřízení práva stavby na pozemku v k. </w:t>
      </w:r>
      <w:proofErr w:type="spellStart"/>
      <w:r w:rsidRPr="007154F7">
        <w:rPr>
          <w:rFonts w:ascii="Verdana" w:hAnsi="Verdana"/>
          <w:b/>
          <w:sz w:val="20"/>
          <w:szCs w:val="20"/>
        </w:rPr>
        <w:t>ú.</w:t>
      </w:r>
      <w:proofErr w:type="spellEnd"/>
      <w:r w:rsidRPr="007154F7">
        <w:rPr>
          <w:rFonts w:ascii="Verdana" w:hAnsi="Verdana"/>
          <w:b/>
          <w:sz w:val="20"/>
          <w:szCs w:val="20"/>
        </w:rPr>
        <w:t xml:space="preserve"> Kutná Hora (TJ SPARTA)</w:t>
      </w:r>
    </w:p>
    <w:p w:rsidR="00A63B86" w:rsidRPr="007154F7" w:rsidRDefault="00A63B86" w:rsidP="007154F7">
      <w:pPr>
        <w:spacing w:after="0"/>
        <w:jc w:val="both"/>
        <w:rPr>
          <w:rFonts w:ascii="Verdana" w:hAnsi="Verdana"/>
          <w:b/>
          <w:sz w:val="20"/>
          <w:szCs w:val="20"/>
        </w:rPr>
      </w:pPr>
      <w:r w:rsidRPr="007154F7">
        <w:rPr>
          <w:rFonts w:ascii="Verdana" w:eastAsia="Calibri" w:hAnsi="Verdana"/>
          <w:bCs/>
          <w:sz w:val="20"/>
          <w:szCs w:val="20"/>
        </w:rPr>
        <w:t xml:space="preserve">Město je vlastníkem pozemku p. č. 3337/1 v k. </w:t>
      </w:r>
      <w:proofErr w:type="spellStart"/>
      <w:r w:rsidRPr="007154F7">
        <w:rPr>
          <w:rFonts w:ascii="Verdana" w:eastAsia="Calibri" w:hAnsi="Verdana"/>
          <w:bCs/>
          <w:sz w:val="20"/>
          <w:szCs w:val="20"/>
        </w:rPr>
        <w:t>ú.</w:t>
      </w:r>
      <w:proofErr w:type="spellEnd"/>
      <w:r w:rsidRPr="007154F7">
        <w:rPr>
          <w:rFonts w:ascii="Verdana" w:eastAsia="Calibri" w:hAnsi="Verdana"/>
          <w:bCs/>
          <w:sz w:val="20"/>
          <w:szCs w:val="20"/>
        </w:rPr>
        <w:t xml:space="preserve"> Kutná Hora, jehož část má ve výpůjčce TJ SPARTA Kutná Hora, z. </w:t>
      </w:r>
      <w:proofErr w:type="gramStart"/>
      <w:r w:rsidRPr="007154F7">
        <w:rPr>
          <w:rFonts w:ascii="Verdana" w:eastAsia="Calibri" w:hAnsi="Verdana"/>
          <w:bCs/>
          <w:sz w:val="20"/>
          <w:szCs w:val="20"/>
        </w:rPr>
        <w:t>s.</w:t>
      </w:r>
      <w:proofErr w:type="gramEnd"/>
      <w:r w:rsidRPr="007154F7">
        <w:rPr>
          <w:rFonts w:ascii="Verdana" w:eastAsia="Calibri" w:hAnsi="Verdana"/>
          <w:bCs/>
          <w:sz w:val="20"/>
          <w:szCs w:val="20"/>
        </w:rPr>
        <w:t xml:space="preserve">, která požádala o právo stavby na tomto pozemku z důvodu vybudování zázemí venkovního volejbalového areálu. </w:t>
      </w:r>
    </w:p>
    <w:p w:rsidR="007154F7" w:rsidRDefault="007154F7" w:rsidP="007154F7">
      <w:pPr>
        <w:pStyle w:val="Bezmezer"/>
        <w:spacing w:line="276" w:lineRule="auto"/>
        <w:jc w:val="both"/>
        <w:rPr>
          <w:rFonts w:ascii="Verdana" w:hAnsi="Verdana"/>
          <w:b/>
          <w:sz w:val="20"/>
          <w:szCs w:val="20"/>
        </w:rPr>
      </w:pPr>
    </w:p>
    <w:p w:rsidR="00A63B86" w:rsidRPr="007154F7" w:rsidRDefault="00A63B86" w:rsidP="007154F7">
      <w:pPr>
        <w:pStyle w:val="Bezmezer"/>
        <w:spacing w:line="276" w:lineRule="auto"/>
        <w:jc w:val="both"/>
        <w:rPr>
          <w:rFonts w:ascii="Verdana" w:hAnsi="Verdana"/>
          <w:b/>
          <w:sz w:val="20"/>
          <w:szCs w:val="20"/>
        </w:rPr>
      </w:pPr>
      <w:r w:rsidRPr="007154F7">
        <w:rPr>
          <w:rFonts w:ascii="Verdana" w:hAnsi="Verdana"/>
          <w:b/>
          <w:sz w:val="20"/>
          <w:szCs w:val="20"/>
        </w:rPr>
        <w:t>3/06 Prodloužení termínů plnění usnesení zastupitelstva města</w:t>
      </w:r>
    </w:p>
    <w:p w:rsidR="00A63B86" w:rsidRPr="007154F7" w:rsidRDefault="00A63B86" w:rsidP="007154F7">
      <w:pPr>
        <w:spacing w:after="0"/>
        <w:jc w:val="both"/>
        <w:rPr>
          <w:rFonts w:ascii="Verdana" w:hAnsi="Verdana" w:cs="Times"/>
          <w:sz w:val="20"/>
          <w:szCs w:val="20"/>
        </w:rPr>
      </w:pPr>
      <w:r w:rsidRPr="007154F7">
        <w:rPr>
          <w:rFonts w:ascii="Verdana" w:hAnsi="Verdana" w:cs="Times"/>
          <w:sz w:val="20"/>
          <w:szCs w:val="20"/>
        </w:rPr>
        <w:t>Odbor správy majetku žádá zastupitelstvo města o prodloužení termínů na splnění některých usnesení s odůvodněním.</w:t>
      </w:r>
    </w:p>
    <w:p w:rsidR="007154F7" w:rsidRDefault="007154F7" w:rsidP="007154F7">
      <w:pPr>
        <w:pStyle w:val="Bezmezer"/>
        <w:spacing w:line="276" w:lineRule="auto"/>
        <w:jc w:val="both"/>
        <w:rPr>
          <w:rFonts w:ascii="Verdana" w:hAnsi="Verdana"/>
          <w:b/>
          <w:sz w:val="20"/>
          <w:szCs w:val="20"/>
        </w:rPr>
      </w:pPr>
    </w:p>
    <w:p w:rsidR="00A63B86" w:rsidRPr="007154F7" w:rsidRDefault="00A63B86" w:rsidP="007154F7">
      <w:pPr>
        <w:pStyle w:val="Bezmezer"/>
        <w:spacing w:line="276" w:lineRule="auto"/>
        <w:jc w:val="both"/>
        <w:rPr>
          <w:rFonts w:ascii="Verdana" w:hAnsi="Verdana"/>
          <w:b/>
          <w:sz w:val="20"/>
          <w:szCs w:val="20"/>
        </w:rPr>
      </w:pPr>
      <w:r w:rsidRPr="007154F7">
        <w:rPr>
          <w:rFonts w:ascii="Verdana" w:hAnsi="Verdana"/>
          <w:b/>
          <w:sz w:val="20"/>
          <w:szCs w:val="20"/>
        </w:rPr>
        <w:t>3/07 Zrušení prodeje nemovitých věcí formou výběrového řízení (veřejné toalety Sedlec)</w:t>
      </w:r>
    </w:p>
    <w:p w:rsidR="00A63B86" w:rsidRPr="007154F7" w:rsidRDefault="00A63B86" w:rsidP="007154F7">
      <w:pPr>
        <w:spacing w:after="0"/>
        <w:jc w:val="both"/>
        <w:rPr>
          <w:rFonts w:ascii="Verdana" w:hAnsi="Verdana" w:cs="Times"/>
          <w:sz w:val="20"/>
          <w:szCs w:val="20"/>
        </w:rPr>
      </w:pPr>
      <w:r w:rsidRPr="007154F7">
        <w:rPr>
          <w:rFonts w:ascii="Verdana" w:hAnsi="Verdana" w:cs="Times"/>
          <w:sz w:val="20"/>
          <w:szCs w:val="20"/>
        </w:rPr>
        <w:t>Jedná se o zrušení bodu II. usnesení č. 120/19 ze dne 18. 6. 2019.</w:t>
      </w:r>
    </w:p>
    <w:p w:rsidR="00A63B86" w:rsidRPr="007154F7" w:rsidRDefault="00A63B86" w:rsidP="007154F7">
      <w:pPr>
        <w:spacing w:after="0"/>
        <w:jc w:val="both"/>
        <w:rPr>
          <w:rFonts w:ascii="Verdana" w:hAnsi="Verdana"/>
          <w:b/>
          <w:sz w:val="20"/>
          <w:szCs w:val="20"/>
        </w:rPr>
      </w:pPr>
      <w:r w:rsidRPr="007154F7">
        <w:rPr>
          <w:rFonts w:ascii="Verdana" w:hAnsi="Verdana"/>
          <w:b/>
          <w:sz w:val="20"/>
          <w:szCs w:val="20"/>
        </w:rPr>
        <w:lastRenderedPageBreak/>
        <w:t xml:space="preserve">3/08 Odkup podílu k pozemkům v k. </w:t>
      </w:r>
      <w:proofErr w:type="spellStart"/>
      <w:r w:rsidRPr="007154F7">
        <w:rPr>
          <w:rFonts w:ascii="Verdana" w:hAnsi="Verdana"/>
          <w:b/>
          <w:sz w:val="20"/>
          <w:szCs w:val="20"/>
        </w:rPr>
        <w:t>ú.</w:t>
      </w:r>
      <w:proofErr w:type="spellEnd"/>
      <w:r w:rsidRPr="007154F7">
        <w:rPr>
          <w:rFonts w:ascii="Verdana" w:hAnsi="Verdana"/>
          <w:b/>
          <w:sz w:val="20"/>
          <w:szCs w:val="20"/>
        </w:rPr>
        <w:t xml:space="preserve"> Sedlec u KH (EUFRAT, s.r.o.)</w:t>
      </w:r>
    </w:p>
    <w:p w:rsidR="00A63B86" w:rsidRPr="007154F7" w:rsidRDefault="00A63B86" w:rsidP="007154F7">
      <w:pPr>
        <w:spacing w:after="0"/>
        <w:jc w:val="both"/>
        <w:rPr>
          <w:rFonts w:ascii="Verdana" w:hAnsi="Verdana"/>
          <w:b/>
          <w:sz w:val="20"/>
          <w:szCs w:val="20"/>
        </w:rPr>
      </w:pPr>
      <w:r w:rsidRPr="007154F7">
        <w:rPr>
          <w:rFonts w:ascii="Verdana" w:hAnsi="Verdana"/>
          <w:sz w:val="20"/>
          <w:szCs w:val="20"/>
        </w:rPr>
        <w:t xml:space="preserve">Spol. EUFRAT s.r.o. nabídla městu využití zákonného předkupního práva na nabytí spoluvlastnického podílu ve výši 1/12 na pozemcích </w:t>
      </w:r>
      <w:proofErr w:type="spellStart"/>
      <w:proofErr w:type="gramStart"/>
      <w:r w:rsidRPr="007154F7">
        <w:rPr>
          <w:rFonts w:ascii="Verdana" w:hAnsi="Verdana"/>
          <w:sz w:val="20"/>
          <w:szCs w:val="20"/>
        </w:rPr>
        <w:t>p.č</w:t>
      </w:r>
      <w:proofErr w:type="spellEnd"/>
      <w:r w:rsidRPr="007154F7">
        <w:rPr>
          <w:rFonts w:ascii="Verdana" w:hAnsi="Verdana"/>
          <w:sz w:val="20"/>
          <w:szCs w:val="20"/>
        </w:rPr>
        <w:t>.</w:t>
      </w:r>
      <w:proofErr w:type="gramEnd"/>
      <w:r w:rsidRPr="007154F7">
        <w:rPr>
          <w:rFonts w:ascii="Verdana" w:hAnsi="Verdana"/>
          <w:sz w:val="20"/>
          <w:szCs w:val="20"/>
        </w:rPr>
        <w:t xml:space="preserve"> 805/127, 805/146, 805/158 </w:t>
      </w:r>
      <w:r w:rsidRPr="007154F7">
        <w:rPr>
          <w:rFonts w:ascii="Verdana" w:hAnsi="Verdana"/>
          <w:sz w:val="20"/>
          <w:szCs w:val="20"/>
        </w:rPr>
        <w:br/>
        <w:t xml:space="preserve">v k. </w:t>
      </w:r>
      <w:proofErr w:type="spellStart"/>
      <w:r w:rsidRPr="007154F7">
        <w:rPr>
          <w:rFonts w:ascii="Verdana" w:hAnsi="Verdana"/>
          <w:sz w:val="20"/>
          <w:szCs w:val="20"/>
        </w:rPr>
        <w:t>ú.</w:t>
      </w:r>
      <w:proofErr w:type="spellEnd"/>
      <w:r w:rsidRPr="007154F7">
        <w:rPr>
          <w:rFonts w:ascii="Verdana" w:hAnsi="Verdana"/>
          <w:sz w:val="20"/>
          <w:szCs w:val="20"/>
        </w:rPr>
        <w:t xml:space="preserve"> Sedlec u KH. Město je již vlastníkem podílu ve výši 2/6 na předmětných pozemcích.</w:t>
      </w:r>
    </w:p>
    <w:p w:rsidR="00A63B86" w:rsidRPr="007154F7" w:rsidRDefault="00A63B86" w:rsidP="007154F7">
      <w:pPr>
        <w:spacing w:after="0"/>
        <w:jc w:val="both"/>
        <w:rPr>
          <w:rFonts w:ascii="Verdana" w:hAnsi="Verdana"/>
          <w:b/>
          <w:sz w:val="20"/>
          <w:szCs w:val="20"/>
        </w:rPr>
      </w:pPr>
    </w:p>
    <w:p w:rsidR="00A63B86" w:rsidRPr="007154F7" w:rsidRDefault="00A63B86" w:rsidP="007154F7">
      <w:pPr>
        <w:spacing w:after="0"/>
        <w:jc w:val="both"/>
        <w:rPr>
          <w:rFonts w:ascii="Verdana" w:hAnsi="Verdana"/>
          <w:b/>
          <w:sz w:val="20"/>
          <w:szCs w:val="20"/>
        </w:rPr>
      </w:pPr>
      <w:r w:rsidRPr="007154F7">
        <w:rPr>
          <w:rFonts w:ascii="Verdana" w:hAnsi="Verdana"/>
          <w:b/>
          <w:sz w:val="20"/>
          <w:szCs w:val="20"/>
        </w:rPr>
        <w:t xml:space="preserve">3/09 Odkup pozemků v k. </w:t>
      </w:r>
      <w:proofErr w:type="spellStart"/>
      <w:r w:rsidRPr="007154F7">
        <w:rPr>
          <w:rFonts w:ascii="Verdana" w:hAnsi="Verdana"/>
          <w:b/>
          <w:sz w:val="20"/>
          <w:szCs w:val="20"/>
        </w:rPr>
        <w:t>ú.</w:t>
      </w:r>
      <w:proofErr w:type="spellEnd"/>
      <w:r w:rsidRPr="007154F7">
        <w:rPr>
          <w:rFonts w:ascii="Verdana" w:hAnsi="Verdana"/>
          <w:sz w:val="20"/>
          <w:szCs w:val="20"/>
        </w:rPr>
        <w:t xml:space="preserve"> </w:t>
      </w:r>
      <w:r w:rsidRPr="007154F7">
        <w:rPr>
          <w:rFonts w:ascii="Verdana" w:hAnsi="Verdana"/>
          <w:b/>
          <w:sz w:val="20"/>
          <w:szCs w:val="20"/>
        </w:rPr>
        <w:t>Štipoklasy (pí Zajícová)</w:t>
      </w:r>
    </w:p>
    <w:p w:rsidR="00A63B86" w:rsidRPr="007154F7" w:rsidRDefault="00A63B86" w:rsidP="007154F7">
      <w:pPr>
        <w:spacing w:after="0"/>
        <w:jc w:val="both"/>
        <w:rPr>
          <w:rFonts w:ascii="Verdana" w:hAnsi="Verdana"/>
          <w:b/>
          <w:sz w:val="20"/>
          <w:szCs w:val="20"/>
        </w:rPr>
      </w:pPr>
      <w:r w:rsidRPr="007154F7">
        <w:rPr>
          <w:rFonts w:ascii="Verdana" w:hAnsi="Verdana"/>
          <w:sz w:val="20"/>
          <w:szCs w:val="20"/>
        </w:rPr>
        <w:t xml:space="preserve">Paní Zajícová nabídla Městu Kutná Hora odprodej pozemků p. č. 699 (lesní pozemek) </w:t>
      </w:r>
      <w:r w:rsidRPr="007154F7">
        <w:rPr>
          <w:rFonts w:ascii="Verdana" w:hAnsi="Verdana"/>
          <w:sz w:val="20"/>
          <w:szCs w:val="20"/>
        </w:rPr>
        <w:br/>
        <w:t>o výměře 1 790 m</w:t>
      </w:r>
      <w:r w:rsidRPr="007154F7">
        <w:rPr>
          <w:rFonts w:ascii="Verdana" w:hAnsi="Verdana"/>
          <w:sz w:val="20"/>
          <w:szCs w:val="20"/>
          <w:vertAlign w:val="superscript"/>
        </w:rPr>
        <w:t>2</w:t>
      </w:r>
      <w:r w:rsidRPr="007154F7">
        <w:rPr>
          <w:rFonts w:ascii="Verdana" w:hAnsi="Verdana"/>
          <w:sz w:val="20"/>
          <w:szCs w:val="20"/>
        </w:rPr>
        <w:t>, p. č. 713 (lesní pozemek) o výměře 566 m</w:t>
      </w:r>
      <w:r w:rsidRPr="007154F7">
        <w:rPr>
          <w:rFonts w:ascii="Verdana" w:hAnsi="Verdana"/>
          <w:sz w:val="20"/>
          <w:szCs w:val="20"/>
          <w:vertAlign w:val="superscript"/>
        </w:rPr>
        <w:t xml:space="preserve">2 </w:t>
      </w:r>
      <w:r w:rsidRPr="007154F7">
        <w:rPr>
          <w:rFonts w:ascii="Verdana" w:hAnsi="Verdana"/>
          <w:sz w:val="20"/>
          <w:szCs w:val="20"/>
        </w:rPr>
        <w:t>a p. č. 778 (vodní plocha) o výměře 257 m</w:t>
      </w:r>
      <w:r w:rsidRPr="007154F7">
        <w:rPr>
          <w:rFonts w:ascii="Verdana" w:hAnsi="Verdana"/>
          <w:sz w:val="20"/>
          <w:szCs w:val="20"/>
          <w:vertAlign w:val="superscript"/>
        </w:rPr>
        <w:t>2</w:t>
      </w:r>
      <w:r w:rsidRPr="007154F7">
        <w:rPr>
          <w:rFonts w:ascii="Verdana" w:hAnsi="Verdana"/>
          <w:sz w:val="20"/>
          <w:szCs w:val="20"/>
        </w:rPr>
        <w:t xml:space="preserve">, vše v k. </w:t>
      </w:r>
      <w:proofErr w:type="spellStart"/>
      <w:r w:rsidRPr="007154F7">
        <w:rPr>
          <w:rFonts w:ascii="Verdana" w:hAnsi="Verdana"/>
          <w:sz w:val="20"/>
          <w:szCs w:val="20"/>
        </w:rPr>
        <w:t>ú.</w:t>
      </w:r>
      <w:proofErr w:type="spellEnd"/>
      <w:r w:rsidRPr="007154F7">
        <w:rPr>
          <w:rFonts w:ascii="Verdana" w:hAnsi="Verdana"/>
          <w:sz w:val="20"/>
          <w:szCs w:val="20"/>
        </w:rPr>
        <w:t xml:space="preserve"> Štipoklasy u </w:t>
      </w:r>
      <w:proofErr w:type="gramStart"/>
      <w:r w:rsidRPr="007154F7">
        <w:rPr>
          <w:rFonts w:ascii="Verdana" w:hAnsi="Verdana"/>
          <w:sz w:val="20"/>
          <w:szCs w:val="20"/>
        </w:rPr>
        <w:t>Černín</w:t>
      </w:r>
      <w:proofErr w:type="gramEnd"/>
      <w:r w:rsidRPr="007154F7">
        <w:rPr>
          <w:rFonts w:ascii="Verdana" w:hAnsi="Verdana"/>
          <w:sz w:val="20"/>
          <w:szCs w:val="20"/>
        </w:rPr>
        <w:t>, které jsou v jejím vlastnictví.</w:t>
      </w:r>
      <w:r w:rsidRPr="007154F7">
        <w:rPr>
          <w:rFonts w:ascii="Verdana" w:hAnsi="Verdana"/>
          <w:b/>
          <w:sz w:val="20"/>
          <w:szCs w:val="20"/>
        </w:rPr>
        <w:t xml:space="preserve"> </w:t>
      </w:r>
    </w:p>
    <w:p w:rsidR="00B8621C" w:rsidRPr="007154F7" w:rsidRDefault="00B8621C" w:rsidP="007154F7">
      <w:pPr>
        <w:spacing w:after="0"/>
        <w:jc w:val="both"/>
        <w:rPr>
          <w:rFonts w:ascii="Verdana" w:hAnsi="Verdana"/>
          <w:sz w:val="20"/>
          <w:szCs w:val="20"/>
        </w:rPr>
      </w:pPr>
    </w:p>
    <w:p w:rsidR="009D4C61" w:rsidRPr="007154F7" w:rsidRDefault="00B8621C" w:rsidP="007154F7">
      <w:pPr>
        <w:spacing w:after="0"/>
        <w:jc w:val="both"/>
        <w:rPr>
          <w:rFonts w:ascii="Verdana" w:hAnsi="Verdana"/>
          <w:b/>
          <w:sz w:val="20"/>
          <w:szCs w:val="20"/>
          <w:u w:val="single"/>
        </w:rPr>
      </w:pPr>
      <w:r w:rsidRPr="007154F7">
        <w:rPr>
          <w:rFonts w:ascii="Verdana" w:hAnsi="Verdana"/>
          <w:b/>
          <w:sz w:val="20"/>
          <w:szCs w:val="20"/>
          <w:u w:val="single"/>
        </w:rPr>
        <w:t>Odbor památkové péče, kultury a školství</w:t>
      </w:r>
    </w:p>
    <w:p w:rsidR="004F3458" w:rsidRPr="007154F7" w:rsidRDefault="004F3458" w:rsidP="007154F7">
      <w:pPr>
        <w:spacing w:after="0"/>
        <w:jc w:val="both"/>
        <w:rPr>
          <w:rFonts w:ascii="Verdana" w:hAnsi="Verdana"/>
          <w:b/>
          <w:sz w:val="20"/>
          <w:szCs w:val="20"/>
        </w:rPr>
      </w:pPr>
      <w:r w:rsidRPr="007154F7">
        <w:rPr>
          <w:rFonts w:ascii="Verdana" w:hAnsi="Verdana"/>
          <w:b/>
          <w:sz w:val="20"/>
          <w:szCs w:val="20"/>
        </w:rPr>
        <w:t>4/01  Rozdělení finančních prostředků z FRM na rok 2020</w:t>
      </w:r>
    </w:p>
    <w:p w:rsidR="004F3458" w:rsidRPr="007154F7" w:rsidRDefault="004F3458" w:rsidP="007154F7">
      <w:pPr>
        <w:spacing w:after="0"/>
        <w:jc w:val="both"/>
        <w:rPr>
          <w:rFonts w:ascii="Verdana" w:hAnsi="Verdana"/>
          <w:b/>
          <w:sz w:val="20"/>
          <w:szCs w:val="20"/>
        </w:rPr>
      </w:pPr>
      <w:r w:rsidRPr="007154F7">
        <w:rPr>
          <w:rFonts w:ascii="Verdana" w:hAnsi="Verdana"/>
          <w:sz w:val="20"/>
          <w:szCs w:val="20"/>
        </w:rPr>
        <w:t xml:space="preserve">Pro rok 2020 jsou k dispozici ve Fondu regenerace města Kutné Hory finanční prostředky ve výši 2 477 682,- Kč. Komise památkové péče na svém jednání dne </w:t>
      </w:r>
      <w:proofErr w:type="gramStart"/>
      <w:r w:rsidRPr="007154F7">
        <w:rPr>
          <w:rFonts w:ascii="Verdana" w:hAnsi="Verdana"/>
          <w:sz w:val="20"/>
          <w:szCs w:val="20"/>
        </w:rPr>
        <w:t>24.2.2020</w:t>
      </w:r>
      <w:proofErr w:type="gramEnd"/>
      <w:r w:rsidRPr="007154F7">
        <w:rPr>
          <w:rFonts w:ascii="Verdana" w:hAnsi="Verdana"/>
          <w:sz w:val="20"/>
          <w:szCs w:val="20"/>
        </w:rPr>
        <w:t xml:space="preserve"> odsouhlasila návrh na rozdělení finančních prostředků na jednotlivé akce. </w:t>
      </w:r>
    </w:p>
    <w:p w:rsidR="004F3458" w:rsidRPr="007154F7" w:rsidRDefault="004F3458" w:rsidP="007154F7">
      <w:pPr>
        <w:spacing w:after="0"/>
        <w:jc w:val="both"/>
        <w:rPr>
          <w:rFonts w:ascii="Verdana" w:hAnsi="Verdana"/>
          <w:b/>
          <w:sz w:val="20"/>
          <w:szCs w:val="20"/>
        </w:rPr>
      </w:pPr>
    </w:p>
    <w:p w:rsidR="004F3458" w:rsidRPr="007154F7" w:rsidRDefault="004F3458" w:rsidP="007154F7">
      <w:pPr>
        <w:spacing w:after="0"/>
        <w:jc w:val="both"/>
        <w:rPr>
          <w:rFonts w:ascii="Verdana" w:hAnsi="Verdana"/>
          <w:b/>
          <w:sz w:val="20"/>
          <w:szCs w:val="20"/>
        </w:rPr>
      </w:pPr>
      <w:r w:rsidRPr="007154F7">
        <w:rPr>
          <w:rFonts w:ascii="Verdana" w:hAnsi="Verdana"/>
          <w:b/>
          <w:sz w:val="20"/>
          <w:szCs w:val="20"/>
        </w:rPr>
        <w:t xml:space="preserve">4/02 Rozdělení finančních prostředků z Programu regenerace na rok 2020 </w:t>
      </w:r>
    </w:p>
    <w:p w:rsidR="004F3458" w:rsidRPr="007154F7" w:rsidRDefault="004F3458" w:rsidP="007154F7">
      <w:pPr>
        <w:spacing w:after="0"/>
        <w:jc w:val="both"/>
        <w:rPr>
          <w:rFonts w:ascii="Verdana" w:hAnsi="Verdana"/>
          <w:sz w:val="20"/>
          <w:szCs w:val="20"/>
        </w:rPr>
      </w:pPr>
      <w:r w:rsidRPr="007154F7">
        <w:rPr>
          <w:rFonts w:ascii="Verdana" w:hAnsi="Verdana"/>
          <w:sz w:val="20"/>
          <w:szCs w:val="20"/>
        </w:rPr>
        <w:t xml:space="preserve">Pro rok 2020 Ministerstvo kultury ČR </w:t>
      </w:r>
      <w:proofErr w:type="gramStart"/>
      <w:r w:rsidRPr="007154F7">
        <w:rPr>
          <w:rFonts w:ascii="Verdana" w:hAnsi="Verdana"/>
          <w:sz w:val="20"/>
          <w:szCs w:val="20"/>
        </w:rPr>
        <w:t>přidělilo</w:t>
      </w:r>
      <w:proofErr w:type="gramEnd"/>
      <w:r w:rsidRPr="007154F7">
        <w:rPr>
          <w:rFonts w:ascii="Verdana" w:hAnsi="Verdana"/>
          <w:sz w:val="20"/>
          <w:szCs w:val="20"/>
        </w:rPr>
        <w:t xml:space="preserve"> rozpisem státní finanční podpory Městu Kutná Hora kvótu ve výši 1 805 000,- Kč. Komise památkové péče na svém jednání dne </w:t>
      </w:r>
      <w:proofErr w:type="gramStart"/>
      <w:r w:rsidRPr="007154F7">
        <w:rPr>
          <w:rFonts w:ascii="Verdana" w:hAnsi="Verdana"/>
          <w:sz w:val="20"/>
          <w:szCs w:val="20"/>
        </w:rPr>
        <w:t>24.2.2020</w:t>
      </w:r>
      <w:proofErr w:type="gramEnd"/>
      <w:r w:rsidRPr="007154F7">
        <w:rPr>
          <w:rFonts w:ascii="Verdana" w:hAnsi="Verdana"/>
          <w:sz w:val="20"/>
          <w:szCs w:val="20"/>
        </w:rPr>
        <w:t xml:space="preserve"> projednala návrh na rozdělení finančních prostředků v rámci Programu regenerace MPR a MPZ pro rok 2020 na jednotlivé akce.</w:t>
      </w:r>
    </w:p>
    <w:p w:rsidR="004F3458" w:rsidRPr="007154F7" w:rsidRDefault="004F3458" w:rsidP="007154F7">
      <w:pPr>
        <w:spacing w:after="0"/>
        <w:jc w:val="both"/>
        <w:rPr>
          <w:rFonts w:ascii="Verdana" w:hAnsi="Verdana"/>
          <w:b/>
          <w:sz w:val="20"/>
          <w:szCs w:val="20"/>
        </w:rPr>
      </w:pPr>
    </w:p>
    <w:p w:rsidR="004F3458" w:rsidRPr="007154F7" w:rsidRDefault="004F3458" w:rsidP="007154F7">
      <w:pPr>
        <w:spacing w:after="0"/>
        <w:jc w:val="both"/>
        <w:rPr>
          <w:rFonts w:ascii="Verdana" w:hAnsi="Verdana"/>
          <w:b/>
          <w:sz w:val="20"/>
          <w:szCs w:val="20"/>
        </w:rPr>
      </w:pPr>
      <w:r w:rsidRPr="007154F7">
        <w:rPr>
          <w:rFonts w:ascii="Verdana" w:hAnsi="Verdana"/>
          <w:b/>
          <w:sz w:val="20"/>
          <w:szCs w:val="20"/>
        </w:rPr>
        <w:t>4/03 Rozpočtové opatření OPPŠK č. 4 a uzavření VPS</w:t>
      </w:r>
    </w:p>
    <w:p w:rsidR="004F3458" w:rsidRPr="007154F7" w:rsidRDefault="004F3458" w:rsidP="007154F7">
      <w:pPr>
        <w:spacing w:after="0"/>
        <w:jc w:val="both"/>
        <w:rPr>
          <w:rFonts w:ascii="Verdana" w:hAnsi="Verdana"/>
          <w:sz w:val="20"/>
          <w:szCs w:val="20"/>
        </w:rPr>
      </w:pPr>
      <w:r w:rsidRPr="007154F7">
        <w:rPr>
          <w:rFonts w:ascii="Verdana" w:hAnsi="Verdana"/>
          <w:sz w:val="20"/>
          <w:szCs w:val="20"/>
        </w:rPr>
        <w:t xml:space="preserve">Rozpočtové opatření OPPŠK </w:t>
      </w:r>
      <w:proofErr w:type="gramStart"/>
      <w:r w:rsidRPr="007154F7">
        <w:rPr>
          <w:rFonts w:ascii="Verdana" w:hAnsi="Verdana"/>
          <w:sz w:val="20"/>
          <w:szCs w:val="20"/>
        </w:rPr>
        <w:t>č.4 a návrh</w:t>
      </w:r>
      <w:proofErr w:type="gramEnd"/>
      <w:r w:rsidRPr="007154F7">
        <w:rPr>
          <w:rFonts w:ascii="Verdana" w:hAnsi="Verdana"/>
          <w:sz w:val="20"/>
          <w:szCs w:val="20"/>
        </w:rPr>
        <w:t xml:space="preserve"> na uzavření veřejnoprávních smluv pro registrovanou mládež. </w:t>
      </w:r>
    </w:p>
    <w:p w:rsidR="004F3458" w:rsidRPr="007154F7" w:rsidRDefault="004F3458" w:rsidP="007154F7">
      <w:pPr>
        <w:spacing w:after="0"/>
        <w:jc w:val="both"/>
        <w:rPr>
          <w:rFonts w:ascii="Verdana" w:hAnsi="Verdana"/>
          <w:b/>
          <w:sz w:val="20"/>
          <w:szCs w:val="20"/>
        </w:rPr>
      </w:pPr>
    </w:p>
    <w:p w:rsidR="004F3458" w:rsidRPr="007154F7" w:rsidRDefault="004F3458" w:rsidP="007154F7">
      <w:pPr>
        <w:spacing w:after="0"/>
        <w:jc w:val="both"/>
        <w:rPr>
          <w:rFonts w:ascii="Verdana" w:hAnsi="Verdana"/>
          <w:b/>
          <w:sz w:val="20"/>
          <w:szCs w:val="20"/>
        </w:rPr>
      </w:pPr>
      <w:r w:rsidRPr="007154F7">
        <w:rPr>
          <w:rFonts w:ascii="Verdana" w:hAnsi="Verdana"/>
          <w:b/>
          <w:sz w:val="20"/>
          <w:szCs w:val="20"/>
        </w:rPr>
        <w:t>4/04 Veřejnoprávní smlouvy o poskytnutí dotace – kultura</w:t>
      </w:r>
    </w:p>
    <w:p w:rsidR="004F3458" w:rsidRPr="007154F7" w:rsidRDefault="004F3458" w:rsidP="007154F7">
      <w:pPr>
        <w:spacing w:after="0"/>
        <w:jc w:val="both"/>
        <w:rPr>
          <w:rFonts w:ascii="Verdana" w:hAnsi="Verdana"/>
          <w:b/>
          <w:sz w:val="20"/>
          <w:szCs w:val="20"/>
        </w:rPr>
      </w:pPr>
      <w:r w:rsidRPr="007154F7">
        <w:rPr>
          <w:rFonts w:ascii="Verdana" w:hAnsi="Verdana"/>
          <w:sz w:val="20"/>
          <w:szCs w:val="20"/>
        </w:rPr>
        <w:t>Veřejnoprávní smlouvy na poskytnutí neinvestičních dotací na kulturní akce konané v roce 2020 (</w:t>
      </w:r>
      <w:proofErr w:type="spellStart"/>
      <w:r w:rsidRPr="007154F7">
        <w:rPr>
          <w:rFonts w:ascii="Verdana" w:hAnsi="Verdana"/>
          <w:sz w:val="20"/>
          <w:szCs w:val="20"/>
        </w:rPr>
        <w:t>Calendarium</w:t>
      </w:r>
      <w:proofErr w:type="spellEnd"/>
      <w:r w:rsidRPr="007154F7">
        <w:rPr>
          <w:rFonts w:ascii="Verdana" w:hAnsi="Verdana"/>
          <w:sz w:val="20"/>
          <w:szCs w:val="20"/>
        </w:rPr>
        <w:t xml:space="preserve"> </w:t>
      </w:r>
      <w:proofErr w:type="spellStart"/>
      <w:r w:rsidRPr="007154F7">
        <w:rPr>
          <w:rFonts w:ascii="Verdana" w:hAnsi="Verdana"/>
          <w:sz w:val="20"/>
          <w:szCs w:val="20"/>
        </w:rPr>
        <w:t>Cuthna</w:t>
      </w:r>
      <w:proofErr w:type="spellEnd"/>
      <w:r w:rsidRPr="007154F7">
        <w:rPr>
          <w:rFonts w:ascii="Verdana" w:hAnsi="Verdana"/>
          <w:sz w:val="20"/>
          <w:szCs w:val="20"/>
        </w:rPr>
        <w:t>)</w:t>
      </w:r>
    </w:p>
    <w:p w:rsidR="004F3458" w:rsidRPr="007154F7" w:rsidRDefault="004F3458" w:rsidP="007154F7">
      <w:pPr>
        <w:spacing w:after="0"/>
        <w:jc w:val="both"/>
        <w:rPr>
          <w:rFonts w:ascii="Verdana" w:hAnsi="Verdana"/>
          <w:b/>
          <w:sz w:val="20"/>
          <w:szCs w:val="20"/>
        </w:rPr>
      </w:pPr>
    </w:p>
    <w:p w:rsidR="004F3458" w:rsidRPr="007154F7" w:rsidRDefault="004F3458" w:rsidP="007154F7">
      <w:pPr>
        <w:spacing w:after="0"/>
        <w:jc w:val="both"/>
        <w:rPr>
          <w:rFonts w:ascii="Verdana" w:hAnsi="Verdana"/>
          <w:b/>
          <w:sz w:val="20"/>
          <w:szCs w:val="20"/>
        </w:rPr>
      </w:pPr>
      <w:r w:rsidRPr="007154F7">
        <w:rPr>
          <w:rFonts w:ascii="Verdana" w:hAnsi="Verdana"/>
          <w:b/>
          <w:sz w:val="20"/>
          <w:szCs w:val="20"/>
        </w:rPr>
        <w:t xml:space="preserve">4/05 Rozpočtové opatření OPPŠK č. 8 – Stříbrná Kutná </w:t>
      </w:r>
      <w:proofErr w:type="gramStart"/>
      <w:r w:rsidRPr="007154F7">
        <w:rPr>
          <w:rFonts w:ascii="Verdana" w:hAnsi="Verdana"/>
          <w:b/>
          <w:sz w:val="20"/>
          <w:szCs w:val="20"/>
        </w:rPr>
        <w:t xml:space="preserve">Hora </w:t>
      </w:r>
      <w:proofErr w:type="spellStart"/>
      <w:r w:rsidRPr="007154F7">
        <w:rPr>
          <w:rFonts w:ascii="Verdana" w:hAnsi="Verdana"/>
          <w:b/>
          <w:sz w:val="20"/>
          <w:szCs w:val="20"/>
        </w:rPr>
        <w:t>z.s</w:t>
      </w:r>
      <w:proofErr w:type="spellEnd"/>
      <w:r w:rsidRPr="007154F7">
        <w:rPr>
          <w:rFonts w:ascii="Verdana" w:hAnsi="Verdana"/>
          <w:b/>
          <w:sz w:val="20"/>
          <w:szCs w:val="20"/>
        </w:rPr>
        <w:t>.</w:t>
      </w:r>
      <w:proofErr w:type="gramEnd"/>
    </w:p>
    <w:p w:rsidR="004F3458" w:rsidRPr="007154F7" w:rsidRDefault="004F3458" w:rsidP="007154F7">
      <w:pPr>
        <w:spacing w:after="0"/>
        <w:jc w:val="both"/>
        <w:rPr>
          <w:rFonts w:ascii="Verdana" w:hAnsi="Verdana"/>
          <w:sz w:val="20"/>
          <w:szCs w:val="20"/>
        </w:rPr>
      </w:pPr>
      <w:r w:rsidRPr="007154F7">
        <w:rPr>
          <w:rFonts w:ascii="Verdana" w:hAnsi="Verdana"/>
          <w:sz w:val="20"/>
          <w:szCs w:val="20"/>
        </w:rPr>
        <w:t xml:space="preserve">Zrušení usnesení číslo 29/99 ze dne 10. 3. 1999. Přesun rozpočtových prostředků ve výši 100 000,- Kč z položky Stříbrná Kutná Hora – členský příspěvek na položku Oslavy 25. výročí UNESCO – služby, a to z důvodu likvidace zapsaného spolku Stříbrná Kutná </w:t>
      </w:r>
      <w:proofErr w:type="gramStart"/>
      <w:r w:rsidRPr="007154F7">
        <w:rPr>
          <w:rFonts w:ascii="Verdana" w:hAnsi="Verdana"/>
          <w:sz w:val="20"/>
          <w:szCs w:val="20"/>
        </w:rPr>
        <w:t xml:space="preserve">Hora, </w:t>
      </w:r>
      <w:proofErr w:type="spellStart"/>
      <w:r w:rsidRPr="007154F7">
        <w:rPr>
          <w:rFonts w:ascii="Verdana" w:hAnsi="Verdana"/>
          <w:sz w:val="20"/>
          <w:szCs w:val="20"/>
        </w:rPr>
        <w:t>z.s</w:t>
      </w:r>
      <w:proofErr w:type="spellEnd"/>
      <w:r w:rsidRPr="007154F7">
        <w:rPr>
          <w:rFonts w:ascii="Verdana" w:hAnsi="Verdana"/>
          <w:sz w:val="20"/>
          <w:szCs w:val="20"/>
        </w:rPr>
        <w:t>.</w:t>
      </w:r>
      <w:proofErr w:type="gramEnd"/>
    </w:p>
    <w:p w:rsidR="004F3458" w:rsidRPr="007154F7" w:rsidRDefault="004F3458" w:rsidP="007154F7">
      <w:pPr>
        <w:spacing w:after="0"/>
        <w:jc w:val="both"/>
        <w:rPr>
          <w:rFonts w:ascii="Verdana" w:hAnsi="Verdana"/>
          <w:sz w:val="20"/>
          <w:szCs w:val="20"/>
        </w:rPr>
      </w:pPr>
    </w:p>
    <w:p w:rsidR="004F3458" w:rsidRPr="007154F7" w:rsidRDefault="004F3458" w:rsidP="007154F7">
      <w:pPr>
        <w:autoSpaceDE w:val="0"/>
        <w:autoSpaceDN w:val="0"/>
        <w:spacing w:after="0"/>
        <w:jc w:val="both"/>
        <w:rPr>
          <w:rFonts w:ascii="Verdana" w:hAnsi="Verdana"/>
          <w:sz w:val="20"/>
          <w:szCs w:val="20"/>
        </w:rPr>
      </w:pPr>
      <w:r w:rsidRPr="007154F7">
        <w:rPr>
          <w:rFonts w:ascii="Verdana" w:hAnsi="Verdana"/>
          <w:b/>
          <w:sz w:val="20"/>
          <w:szCs w:val="20"/>
        </w:rPr>
        <w:t xml:space="preserve">4/06 Rozpočtové opatření OPPŠK č. 7 a uzavření VPS </w:t>
      </w:r>
    </w:p>
    <w:p w:rsidR="004F3458" w:rsidRPr="007154F7" w:rsidRDefault="004F3458" w:rsidP="007154F7">
      <w:pPr>
        <w:autoSpaceDE w:val="0"/>
        <w:autoSpaceDN w:val="0"/>
        <w:spacing w:after="0"/>
        <w:jc w:val="both"/>
        <w:rPr>
          <w:rFonts w:ascii="Verdana" w:hAnsi="Verdana"/>
          <w:sz w:val="20"/>
          <w:szCs w:val="20"/>
        </w:rPr>
      </w:pPr>
      <w:r w:rsidRPr="007154F7">
        <w:rPr>
          <w:rFonts w:ascii="Verdana" w:hAnsi="Verdana"/>
          <w:sz w:val="20"/>
          <w:szCs w:val="20"/>
        </w:rPr>
        <w:t xml:space="preserve">Navýšení rozpočtových prostředků na investiční dotaci pro TJ Sparta Kutná </w:t>
      </w:r>
      <w:proofErr w:type="gramStart"/>
      <w:r w:rsidRPr="007154F7">
        <w:rPr>
          <w:rFonts w:ascii="Verdana" w:hAnsi="Verdana"/>
          <w:sz w:val="20"/>
          <w:szCs w:val="20"/>
        </w:rPr>
        <w:t xml:space="preserve">Hora, </w:t>
      </w:r>
      <w:proofErr w:type="spellStart"/>
      <w:r w:rsidRPr="007154F7">
        <w:rPr>
          <w:rFonts w:ascii="Verdana" w:hAnsi="Verdana"/>
          <w:sz w:val="20"/>
          <w:szCs w:val="20"/>
        </w:rPr>
        <w:t>z.s</w:t>
      </w:r>
      <w:proofErr w:type="spellEnd"/>
      <w:r w:rsidRPr="007154F7">
        <w:rPr>
          <w:rFonts w:ascii="Verdana" w:hAnsi="Verdana"/>
          <w:sz w:val="20"/>
          <w:szCs w:val="20"/>
        </w:rPr>
        <w:t>.</w:t>
      </w:r>
      <w:proofErr w:type="gramEnd"/>
      <w:r w:rsidRPr="007154F7">
        <w:rPr>
          <w:rFonts w:ascii="Verdana" w:hAnsi="Verdana"/>
          <w:sz w:val="20"/>
          <w:szCs w:val="20"/>
        </w:rPr>
        <w:t xml:space="preserve"> – oddíl volejbalu a návrh na uzavření veřejnoprávní smlouvy.</w:t>
      </w:r>
    </w:p>
    <w:p w:rsidR="00E9158E" w:rsidRPr="007154F7" w:rsidRDefault="00E9158E" w:rsidP="007154F7">
      <w:pPr>
        <w:autoSpaceDE w:val="0"/>
        <w:autoSpaceDN w:val="0"/>
        <w:spacing w:after="0"/>
        <w:jc w:val="both"/>
        <w:rPr>
          <w:rFonts w:ascii="Verdana" w:hAnsi="Verdana"/>
          <w:sz w:val="20"/>
          <w:szCs w:val="20"/>
        </w:rPr>
      </w:pPr>
    </w:p>
    <w:p w:rsidR="00E9158E" w:rsidRPr="007154F7" w:rsidRDefault="00E9158E" w:rsidP="007154F7">
      <w:pPr>
        <w:spacing w:after="0"/>
        <w:jc w:val="both"/>
        <w:rPr>
          <w:rFonts w:ascii="Verdana" w:hAnsi="Verdana"/>
          <w:b/>
          <w:sz w:val="20"/>
          <w:szCs w:val="20"/>
          <w:u w:val="single"/>
        </w:rPr>
      </w:pPr>
      <w:r w:rsidRPr="007154F7">
        <w:rPr>
          <w:rFonts w:ascii="Verdana" w:hAnsi="Verdana"/>
          <w:b/>
          <w:sz w:val="20"/>
          <w:szCs w:val="20"/>
          <w:u w:val="single"/>
        </w:rPr>
        <w:t>Odbor regionálního rozvoje a územního plánování</w:t>
      </w:r>
    </w:p>
    <w:p w:rsidR="00E9158E" w:rsidRPr="007154F7" w:rsidRDefault="00E9158E" w:rsidP="007154F7">
      <w:pPr>
        <w:spacing w:after="0"/>
        <w:jc w:val="both"/>
        <w:rPr>
          <w:rFonts w:ascii="Verdana" w:eastAsia="Times New Roman" w:hAnsi="Verdana" w:cs="Times New Roman"/>
          <w:b/>
          <w:sz w:val="20"/>
          <w:szCs w:val="20"/>
          <w:lang w:eastAsia="cs-CZ"/>
        </w:rPr>
      </w:pPr>
      <w:r w:rsidRPr="007154F7">
        <w:rPr>
          <w:rFonts w:ascii="Verdana" w:eastAsia="Times New Roman" w:hAnsi="Verdana" w:cs="Times New Roman"/>
          <w:b/>
          <w:sz w:val="20"/>
          <w:szCs w:val="20"/>
          <w:lang w:eastAsia="cs-CZ"/>
        </w:rPr>
        <w:t>5/01 Vydání Územního plánu Kutná Hora</w:t>
      </w:r>
    </w:p>
    <w:p w:rsidR="00E9158E" w:rsidRPr="007154F7" w:rsidRDefault="00E9158E" w:rsidP="007154F7">
      <w:pPr>
        <w:spacing w:after="0"/>
        <w:jc w:val="both"/>
        <w:rPr>
          <w:rFonts w:ascii="Verdana" w:eastAsia="Times New Roman" w:hAnsi="Verdana" w:cs="Times New Roman"/>
          <w:sz w:val="20"/>
          <w:szCs w:val="20"/>
          <w:lang w:eastAsia="cs-CZ"/>
        </w:rPr>
      </w:pPr>
      <w:r w:rsidRPr="007154F7">
        <w:rPr>
          <w:rFonts w:ascii="Verdana" w:eastAsia="Times New Roman" w:hAnsi="Verdana" w:cs="Times New Roman"/>
          <w:b/>
          <w:sz w:val="20"/>
          <w:szCs w:val="20"/>
          <w:lang w:eastAsia="cs-CZ"/>
        </w:rPr>
        <w:t xml:space="preserve">I. </w:t>
      </w:r>
      <w:r w:rsidRPr="007154F7">
        <w:rPr>
          <w:rFonts w:ascii="Verdana" w:eastAsia="Times New Roman" w:hAnsi="Verdana" w:cs="Times New Roman"/>
          <w:sz w:val="20"/>
          <w:szCs w:val="20"/>
          <w:lang w:eastAsia="cs-CZ"/>
        </w:rPr>
        <w:t xml:space="preserve">V příslušných fázích pořizování návrhu Územního plánu Kutná Hora bylo možné proti tomuto návrhu podávat, v souladu se stavebním zákonem, připomínky a námitky. Tyto námitky a připomínky pořizovatel ve spolupráci s určeným zastupitelem vyhodnotil a s ohledem na veřejné zájmy zpracoval návrh rozhodnutí o námitkách a návrh vyhodnocení připomínek. Návrhy byly doručeny dotčeným orgánům a krajskému úřadu jako nadřízenému orgánu a tyto byly vyzvány, aby k nim uplatnily stanoviska. V případě (částečného) vyhovění se tyto námitky a připomínky promítly do samotného řešení návrhu </w:t>
      </w:r>
      <w:r w:rsidRPr="007154F7">
        <w:rPr>
          <w:rFonts w:ascii="Verdana" w:eastAsia="Times New Roman" w:hAnsi="Verdana" w:cs="Times New Roman"/>
          <w:sz w:val="20"/>
          <w:szCs w:val="20"/>
          <w:lang w:eastAsia="cs-CZ"/>
        </w:rPr>
        <w:lastRenderedPageBreak/>
        <w:t>Územního plánu. Seznam všech podaných námitek a připomínek včetně jejich vypořádání a případného odůvodnění je součástí textové části odůvodnění Územního plánu.</w:t>
      </w:r>
    </w:p>
    <w:p w:rsidR="00E9158E" w:rsidRPr="007154F7" w:rsidRDefault="00E9158E" w:rsidP="007154F7">
      <w:pPr>
        <w:tabs>
          <w:tab w:val="left" w:pos="142"/>
        </w:tabs>
        <w:spacing w:after="0"/>
        <w:jc w:val="both"/>
        <w:rPr>
          <w:rFonts w:ascii="Verdana" w:hAnsi="Verdana"/>
          <w:sz w:val="20"/>
          <w:szCs w:val="20"/>
        </w:rPr>
      </w:pPr>
      <w:r w:rsidRPr="007154F7">
        <w:rPr>
          <w:rFonts w:ascii="Verdana" w:hAnsi="Verdana"/>
          <w:b/>
          <w:sz w:val="20"/>
          <w:szCs w:val="20"/>
        </w:rPr>
        <w:t>II.</w:t>
      </w:r>
      <w:r w:rsidRPr="007154F7">
        <w:rPr>
          <w:rFonts w:ascii="Verdana" w:hAnsi="Verdana"/>
          <w:sz w:val="20"/>
          <w:szCs w:val="20"/>
        </w:rPr>
        <w:t xml:space="preserve"> Průběh pořizování:</w:t>
      </w:r>
    </w:p>
    <w:p w:rsidR="00E9158E" w:rsidRPr="007154F7" w:rsidRDefault="00E9158E" w:rsidP="007154F7">
      <w:pPr>
        <w:pStyle w:val="Odstavecseseznamem"/>
        <w:numPr>
          <w:ilvl w:val="0"/>
          <w:numId w:val="3"/>
        </w:numPr>
        <w:tabs>
          <w:tab w:val="left" w:pos="142"/>
        </w:tabs>
        <w:spacing w:line="276" w:lineRule="auto"/>
        <w:ind w:left="0" w:firstLine="0"/>
        <w:contextualSpacing w:val="0"/>
        <w:jc w:val="both"/>
        <w:rPr>
          <w:rFonts w:ascii="Verdana" w:hAnsi="Verdana"/>
          <w:sz w:val="20"/>
          <w:szCs w:val="20"/>
        </w:rPr>
      </w:pPr>
      <w:r w:rsidRPr="007154F7">
        <w:rPr>
          <w:rFonts w:ascii="Verdana" w:hAnsi="Verdana"/>
          <w:sz w:val="20"/>
          <w:szCs w:val="20"/>
        </w:rPr>
        <w:t>Pořízení nového Územního plánu (ÚP) Kutná Hora schválilo Zastupitelstvo města Kutná Hora 31. 3. 2015 usnesením č. 67/15</w:t>
      </w:r>
    </w:p>
    <w:p w:rsidR="00E9158E" w:rsidRPr="007154F7" w:rsidRDefault="00E9158E" w:rsidP="007154F7">
      <w:pPr>
        <w:pStyle w:val="Odstavecseseznamem"/>
        <w:numPr>
          <w:ilvl w:val="0"/>
          <w:numId w:val="3"/>
        </w:numPr>
        <w:tabs>
          <w:tab w:val="left" w:pos="142"/>
        </w:tabs>
        <w:spacing w:line="276" w:lineRule="auto"/>
        <w:ind w:left="0" w:firstLine="0"/>
        <w:contextualSpacing w:val="0"/>
        <w:jc w:val="both"/>
        <w:rPr>
          <w:rFonts w:ascii="Verdana" w:hAnsi="Verdana"/>
          <w:sz w:val="20"/>
          <w:szCs w:val="20"/>
        </w:rPr>
      </w:pPr>
      <w:r w:rsidRPr="007154F7">
        <w:rPr>
          <w:rFonts w:ascii="Verdana" w:hAnsi="Verdana"/>
          <w:sz w:val="20"/>
          <w:szCs w:val="20"/>
        </w:rPr>
        <w:t>Zadání ÚP Kutná Hora bylo schváleno Zastupitelstvem města Kutná Hora dne 30. 6. 2015 usnesením č. 150/15</w:t>
      </w:r>
    </w:p>
    <w:p w:rsidR="00E9158E" w:rsidRPr="007154F7" w:rsidRDefault="00E9158E" w:rsidP="007154F7">
      <w:pPr>
        <w:pStyle w:val="Odstavecseseznamem"/>
        <w:numPr>
          <w:ilvl w:val="0"/>
          <w:numId w:val="3"/>
        </w:numPr>
        <w:tabs>
          <w:tab w:val="left" w:pos="142"/>
        </w:tabs>
        <w:spacing w:line="276" w:lineRule="auto"/>
        <w:ind w:left="0" w:firstLine="0"/>
        <w:contextualSpacing w:val="0"/>
        <w:jc w:val="both"/>
        <w:rPr>
          <w:rFonts w:ascii="Verdana" w:hAnsi="Verdana"/>
          <w:sz w:val="20"/>
          <w:szCs w:val="20"/>
        </w:rPr>
      </w:pPr>
      <w:r w:rsidRPr="007154F7">
        <w:rPr>
          <w:rFonts w:ascii="Verdana" w:hAnsi="Verdana"/>
          <w:sz w:val="20"/>
          <w:szCs w:val="20"/>
        </w:rPr>
        <w:t>Veřejná vyhláška – oznámení o vystavení návrhu ÚP Kutná Hora pro potřeby společného jednání byla vyvěšena na úřední desce od 9. 6. 2017 do 27. 7. 2017</w:t>
      </w:r>
    </w:p>
    <w:p w:rsidR="00E9158E" w:rsidRPr="007154F7" w:rsidRDefault="00E9158E" w:rsidP="007154F7">
      <w:pPr>
        <w:pStyle w:val="Odstavecseseznamem"/>
        <w:numPr>
          <w:ilvl w:val="1"/>
          <w:numId w:val="3"/>
        </w:numPr>
        <w:tabs>
          <w:tab w:val="left" w:pos="142"/>
        </w:tabs>
        <w:spacing w:line="276" w:lineRule="auto"/>
        <w:ind w:left="0" w:firstLine="0"/>
        <w:contextualSpacing w:val="0"/>
        <w:jc w:val="both"/>
        <w:rPr>
          <w:rFonts w:ascii="Verdana" w:hAnsi="Verdana"/>
          <w:sz w:val="20"/>
          <w:szCs w:val="20"/>
        </w:rPr>
      </w:pPr>
      <w:r w:rsidRPr="007154F7">
        <w:rPr>
          <w:rFonts w:ascii="Verdana" w:hAnsi="Verdana"/>
          <w:sz w:val="20"/>
          <w:szCs w:val="20"/>
        </w:rPr>
        <w:t xml:space="preserve">Společné jednání nad návrhem ÚP Kutná Hora proběhlo 26. 6. 2017 v 13:00 hod v zasedací místnosti Městského úřadu Kutná Hora, Václavské nám. 182, Kutná Hora </w:t>
      </w:r>
    </w:p>
    <w:p w:rsidR="00E9158E" w:rsidRPr="007154F7" w:rsidRDefault="00E9158E" w:rsidP="007154F7">
      <w:pPr>
        <w:pStyle w:val="Odstavecseseznamem"/>
        <w:numPr>
          <w:ilvl w:val="0"/>
          <w:numId w:val="3"/>
        </w:numPr>
        <w:tabs>
          <w:tab w:val="left" w:pos="142"/>
        </w:tabs>
        <w:spacing w:line="276" w:lineRule="auto"/>
        <w:ind w:left="0" w:firstLine="0"/>
        <w:contextualSpacing w:val="0"/>
        <w:jc w:val="both"/>
        <w:rPr>
          <w:rFonts w:ascii="Verdana" w:hAnsi="Verdana"/>
          <w:sz w:val="20"/>
          <w:szCs w:val="20"/>
        </w:rPr>
      </w:pPr>
      <w:r w:rsidRPr="007154F7">
        <w:rPr>
          <w:rFonts w:ascii="Verdana" w:hAnsi="Verdana"/>
          <w:sz w:val="20"/>
          <w:szCs w:val="20"/>
        </w:rPr>
        <w:t>Konání veřejné projednání návrhu ÚP Kutná Hora bylo vyhlášeno na 27. 5. 2019 v 14:00 v Rytířském sále Vlašského dvora.</w:t>
      </w:r>
    </w:p>
    <w:p w:rsidR="00E9158E" w:rsidRPr="007154F7" w:rsidRDefault="00E9158E" w:rsidP="007154F7">
      <w:pPr>
        <w:pStyle w:val="Odstavecseseznamem"/>
        <w:numPr>
          <w:ilvl w:val="1"/>
          <w:numId w:val="3"/>
        </w:numPr>
        <w:tabs>
          <w:tab w:val="left" w:pos="142"/>
        </w:tabs>
        <w:spacing w:line="276" w:lineRule="auto"/>
        <w:ind w:left="0" w:firstLine="0"/>
        <w:contextualSpacing w:val="0"/>
        <w:jc w:val="both"/>
        <w:rPr>
          <w:rFonts w:ascii="Verdana" w:hAnsi="Verdana"/>
          <w:sz w:val="20"/>
          <w:szCs w:val="20"/>
        </w:rPr>
      </w:pPr>
      <w:r w:rsidRPr="007154F7">
        <w:rPr>
          <w:rFonts w:ascii="Verdana" w:hAnsi="Verdana"/>
          <w:sz w:val="20"/>
          <w:szCs w:val="20"/>
        </w:rPr>
        <w:t>Návrh ÚP Kutná Hora byl vystaven k veřejnému nahlédnutí na Městském úřadě Kutná Hora, Odboru regionálního rozvoje a územního plánování a rovněž byl zveřejněn způsobem umožňujícím dálkový přístup na internetové adrese https://mu.kutnahora.cz/mu/uzemni-plan-kutna-hora (cesta: Městský úřad - Odbor regionálního rozvoje a územního plánování – Územně plánovací dokumentace Města Kutná Hora.</w:t>
      </w:r>
    </w:p>
    <w:p w:rsidR="00E9158E" w:rsidRPr="007154F7" w:rsidRDefault="00E9158E" w:rsidP="007154F7">
      <w:pPr>
        <w:pStyle w:val="Odstavecseseznamem"/>
        <w:numPr>
          <w:ilvl w:val="0"/>
          <w:numId w:val="3"/>
        </w:numPr>
        <w:tabs>
          <w:tab w:val="left" w:pos="142"/>
        </w:tabs>
        <w:spacing w:line="276" w:lineRule="auto"/>
        <w:ind w:left="0" w:firstLine="0"/>
        <w:contextualSpacing w:val="0"/>
        <w:jc w:val="both"/>
        <w:rPr>
          <w:rFonts w:ascii="Verdana" w:hAnsi="Verdana"/>
          <w:sz w:val="20"/>
          <w:szCs w:val="20"/>
        </w:rPr>
      </w:pPr>
      <w:r w:rsidRPr="007154F7">
        <w:rPr>
          <w:rFonts w:ascii="Verdana" w:hAnsi="Verdana"/>
          <w:sz w:val="20"/>
          <w:szCs w:val="20"/>
        </w:rPr>
        <w:t>Konání opakovaného veřejné projednání návrhu ÚP Kutná Hora bylo vyhlášeno na 4. 11. 2019 v 16:00 v Rytířském sále Vlašského dvora.</w:t>
      </w:r>
    </w:p>
    <w:p w:rsidR="00E9158E" w:rsidRPr="007154F7" w:rsidRDefault="00E9158E" w:rsidP="007154F7">
      <w:pPr>
        <w:pStyle w:val="Odstavecseseznamem"/>
        <w:numPr>
          <w:ilvl w:val="1"/>
          <w:numId w:val="3"/>
        </w:numPr>
        <w:tabs>
          <w:tab w:val="left" w:pos="142"/>
        </w:tabs>
        <w:spacing w:line="276" w:lineRule="auto"/>
        <w:ind w:left="0" w:firstLine="0"/>
        <w:contextualSpacing w:val="0"/>
        <w:jc w:val="both"/>
        <w:rPr>
          <w:rFonts w:ascii="Verdana" w:hAnsi="Verdana"/>
          <w:sz w:val="20"/>
          <w:szCs w:val="20"/>
        </w:rPr>
      </w:pPr>
      <w:r w:rsidRPr="007154F7">
        <w:rPr>
          <w:rFonts w:ascii="Verdana" w:hAnsi="Verdana"/>
          <w:sz w:val="20"/>
          <w:szCs w:val="20"/>
        </w:rPr>
        <w:t>Návrh ÚP Kutná Hora byl vystaven k veřejnému nahlédnutí na Městském úřadě Kutná Hora, Odboru regionálního rozvoje a územního plánování a rovněž byl zveřejněn způsobem umožňujícím dálkový přístup na internetové adrese https://mu.kutnahora.cz/mu/uzemni-plan-kutna-hora (cesta: Městský úřad - Odbor regionálního rozvoje a územního plánování – Územně plánovací dokumentace Města Kutná Hora</w:t>
      </w:r>
    </w:p>
    <w:p w:rsidR="00E9158E" w:rsidRPr="007154F7" w:rsidRDefault="00E9158E" w:rsidP="007154F7">
      <w:pPr>
        <w:pStyle w:val="Odstavecseseznamem"/>
        <w:numPr>
          <w:ilvl w:val="0"/>
          <w:numId w:val="3"/>
        </w:numPr>
        <w:tabs>
          <w:tab w:val="left" w:pos="142"/>
        </w:tabs>
        <w:spacing w:line="276" w:lineRule="auto"/>
        <w:ind w:left="0" w:firstLine="0"/>
        <w:contextualSpacing w:val="0"/>
        <w:jc w:val="both"/>
        <w:rPr>
          <w:rFonts w:ascii="Verdana" w:hAnsi="Verdana"/>
          <w:sz w:val="20"/>
          <w:szCs w:val="20"/>
        </w:rPr>
      </w:pPr>
      <w:r w:rsidRPr="007154F7">
        <w:rPr>
          <w:rFonts w:ascii="Verdana" w:hAnsi="Verdana"/>
          <w:sz w:val="20"/>
          <w:szCs w:val="20"/>
        </w:rPr>
        <w:t>Vzhledem ke skutečnosti, že veškerá evidovaná stanoviska dotčených orgánů byla kladná a návrh rozhodnutí o námitkách a návrh vyhodnocení připomínek žádné z námitek ani připomínce nevyhověl, bylo možné přikročit k finálním úpravám dokumentace nutných pro samotné vydání návrhu ÚP Kutná Hora.</w:t>
      </w:r>
    </w:p>
    <w:p w:rsidR="00E9158E" w:rsidRPr="007154F7" w:rsidRDefault="00E9158E" w:rsidP="007154F7">
      <w:pPr>
        <w:pStyle w:val="Odstavecseseznamem"/>
        <w:numPr>
          <w:ilvl w:val="0"/>
          <w:numId w:val="3"/>
        </w:numPr>
        <w:tabs>
          <w:tab w:val="left" w:pos="142"/>
        </w:tabs>
        <w:spacing w:line="276" w:lineRule="auto"/>
        <w:ind w:left="0" w:firstLine="0"/>
        <w:contextualSpacing w:val="0"/>
        <w:jc w:val="both"/>
        <w:rPr>
          <w:rFonts w:ascii="Verdana" w:hAnsi="Verdana"/>
          <w:sz w:val="20"/>
          <w:szCs w:val="20"/>
        </w:rPr>
      </w:pPr>
      <w:r w:rsidRPr="007154F7">
        <w:rPr>
          <w:rFonts w:ascii="Verdana" w:hAnsi="Verdana"/>
          <w:sz w:val="20"/>
          <w:szCs w:val="20"/>
        </w:rPr>
        <w:t>28. 1. 2020 byl návrh ÚP Kutná Hora předložen k vydání zastupitelstvu města Kutná Hora, které jeho vydání odložilo.</w:t>
      </w:r>
    </w:p>
    <w:p w:rsidR="00E9158E" w:rsidRPr="007154F7" w:rsidRDefault="00E9158E" w:rsidP="007154F7">
      <w:pPr>
        <w:tabs>
          <w:tab w:val="left" w:pos="284"/>
        </w:tabs>
        <w:spacing w:after="0"/>
        <w:jc w:val="both"/>
        <w:rPr>
          <w:rFonts w:ascii="Verdana" w:hAnsi="Verdana"/>
          <w:sz w:val="20"/>
          <w:szCs w:val="20"/>
        </w:rPr>
      </w:pPr>
      <w:r w:rsidRPr="007154F7">
        <w:rPr>
          <w:rFonts w:ascii="Verdana" w:hAnsi="Verdana"/>
          <w:b/>
          <w:sz w:val="20"/>
          <w:szCs w:val="20"/>
        </w:rPr>
        <w:t>III.</w:t>
      </w:r>
      <w:r w:rsidRPr="007154F7">
        <w:rPr>
          <w:rFonts w:ascii="Verdana" w:hAnsi="Verdana"/>
          <w:sz w:val="20"/>
          <w:szCs w:val="20"/>
        </w:rPr>
        <w:t xml:space="preserve"> Po vydání Územního plánu ukládá pořizovateli, tedy Odboru regionálního rozvoje a územního plánování, příslušná legislativa (stavební zákon, správní řád), resp. smlouva o dílo zajistit další činnosti, mezi které patří zejména: </w:t>
      </w:r>
    </w:p>
    <w:p w:rsidR="00E9158E" w:rsidRPr="007154F7" w:rsidRDefault="00E9158E" w:rsidP="007154F7">
      <w:pPr>
        <w:pStyle w:val="Odstavecseseznamem"/>
        <w:numPr>
          <w:ilvl w:val="2"/>
          <w:numId w:val="4"/>
        </w:numPr>
        <w:tabs>
          <w:tab w:val="left" w:pos="284"/>
        </w:tabs>
        <w:spacing w:line="276" w:lineRule="auto"/>
        <w:ind w:left="0" w:firstLine="0"/>
        <w:contextualSpacing w:val="0"/>
        <w:jc w:val="both"/>
        <w:rPr>
          <w:rFonts w:ascii="Verdana" w:hAnsi="Verdana"/>
          <w:sz w:val="20"/>
          <w:szCs w:val="20"/>
        </w:rPr>
      </w:pPr>
      <w:r w:rsidRPr="007154F7">
        <w:rPr>
          <w:rFonts w:ascii="Verdana" w:hAnsi="Verdana"/>
          <w:sz w:val="20"/>
          <w:szCs w:val="20"/>
        </w:rPr>
        <w:t xml:space="preserve">zajistit dotisk tří pare dokumentace ÚP Kutná Hora </w:t>
      </w:r>
    </w:p>
    <w:p w:rsidR="00E9158E" w:rsidRPr="007154F7" w:rsidRDefault="00E9158E" w:rsidP="007154F7">
      <w:pPr>
        <w:pStyle w:val="Odstavecseseznamem"/>
        <w:numPr>
          <w:ilvl w:val="2"/>
          <w:numId w:val="4"/>
        </w:numPr>
        <w:tabs>
          <w:tab w:val="left" w:pos="284"/>
        </w:tabs>
        <w:spacing w:line="276" w:lineRule="auto"/>
        <w:ind w:left="0" w:firstLine="0"/>
        <w:contextualSpacing w:val="0"/>
        <w:jc w:val="both"/>
        <w:rPr>
          <w:rFonts w:ascii="Verdana" w:hAnsi="Verdana"/>
          <w:sz w:val="20"/>
          <w:szCs w:val="20"/>
        </w:rPr>
      </w:pPr>
      <w:r w:rsidRPr="007154F7">
        <w:rPr>
          <w:rFonts w:ascii="Verdana" w:hAnsi="Verdana"/>
          <w:sz w:val="20"/>
          <w:szCs w:val="20"/>
        </w:rPr>
        <w:t>opatřit všechna pare záznamem o účinnosti</w:t>
      </w:r>
    </w:p>
    <w:p w:rsidR="00E9158E" w:rsidRPr="007154F7" w:rsidRDefault="00E9158E" w:rsidP="007154F7">
      <w:pPr>
        <w:pStyle w:val="Odstavecseseznamem"/>
        <w:numPr>
          <w:ilvl w:val="2"/>
          <w:numId w:val="4"/>
        </w:numPr>
        <w:tabs>
          <w:tab w:val="left" w:pos="284"/>
        </w:tabs>
        <w:spacing w:line="276" w:lineRule="auto"/>
        <w:ind w:left="0" w:firstLine="0"/>
        <w:contextualSpacing w:val="0"/>
        <w:jc w:val="both"/>
        <w:rPr>
          <w:rFonts w:ascii="Verdana" w:hAnsi="Verdana"/>
          <w:sz w:val="20"/>
          <w:szCs w:val="20"/>
        </w:rPr>
      </w:pPr>
      <w:r w:rsidRPr="007154F7">
        <w:rPr>
          <w:rFonts w:ascii="Verdana" w:hAnsi="Verdana"/>
          <w:sz w:val="20"/>
          <w:szCs w:val="20"/>
        </w:rPr>
        <w:t>připravit znění veřejné vyhlášky, která bude informovat o vydání územní plánu (formou tzv. opatření obecné povahy)</w:t>
      </w:r>
    </w:p>
    <w:p w:rsidR="00E9158E" w:rsidRPr="007154F7" w:rsidRDefault="00E9158E" w:rsidP="007154F7">
      <w:pPr>
        <w:pStyle w:val="Odstavecseseznamem"/>
        <w:numPr>
          <w:ilvl w:val="2"/>
          <w:numId w:val="4"/>
        </w:numPr>
        <w:tabs>
          <w:tab w:val="left" w:pos="284"/>
        </w:tabs>
        <w:spacing w:line="276" w:lineRule="auto"/>
        <w:ind w:left="0" w:firstLine="0"/>
        <w:contextualSpacing w:val="0"/>
        <w:jc w:val="both"/>
        <w:rPr>
          <w:rFonts w:ascii="Verdana" w:hAnsi="Verdana"/>
          <w:sz w:val="20"/>
          <w:szCs w:val="20"/>
        </w:rPr>
      </w:pPr>
      <w:r w:rsidRPr="007154F7">
        <w:rPr>
          <w:rFonts w:ascii="Verdana" w:hAnsi="Verdana"/>
          <w:sz w:val="20"/>
          <w:szCs w:val="20"/>
        </w:rPr>
        <w:t>zaevidovat nabytí účinnosti ÚP do evidence územně plánovací činnosti pomocí registračního listu územně plánovací dokumentace</w:t>
      </w:r>
    </w:p>
    <w:p w:rsidR="00E9158E" w:rsidRPr="007154F7" w:rsidRDefault="00E9158E" w:rsidP="007154F7">
      <w:pPr>
        <w:pStyle w:val="Odstavecseseznamem"/>
        <w:numPr>
          <w:ilvl w:val="2"/>
          <w:numId w:val="4"/>
        </w:numPr>
        <w:tabs>
          <w:tab w:val="left" w:pos="284"/>
        </w:tabs>
        <w:spacing w:line="276" w:lineRule="auto"/>
        <w:ind w:left="0" w:firstLine="0"/>
        <w:contextualSpacing w:val="0"/>
        <w:jc w:val="both"/>
        <w:rPr>
          <w:rFonts w:ascii="Verdana" w:hAnsi="Verdana"/>
          <w:sz w:val="20"/>
          <w:szCs w:val="20"/>
        </w:rPr>
      </w:pPr>
      <w:r w:rsidRPr="007154F7">
        <w:rPr>
          <w:rFonts w:ascii="Verdana" w:hAnsi="Verdana"/>
          <w:sz w:val="20"/>
          <w:szCs w:val="20"/>
        </w:rPr>
        <w:t>aktualizovat příslušné části webových stránek města, které se vztahují k územně plánovací dokumentaci města</w:t>
      </w:r>
    </w:p>
    <w:p w:rsidR="00E9158E" w:rsidRPr="007154F7" w:rsidRDefault="00E9158E" w:rsidP="007154F7">
      <w:pPr>
        <w:spacing w:after="0"/>
        <w:jc w:val="both"/>
        <w:rPr>
          <w:rFonts w:ascii="Verdana" w:hAnsi="Verdana"/>
          <w:sz w:val="20"/>
          <w:szCs w:val="20"/>
        </w:rPr>
      </w:pPr>
    </w:p>
    <w:p w:rsidR="00E9158E" w:rsidRPr="007154F7" w:rsidRDefault="00E9158E" w:rsidP="007154F7">
      <w:pPr>
        <w:spacing w:after="0"/>
        <w:jc w:val="both"/>
        <w:rPr>
          <w:rFonts w:ascii="Verdana" w:hAnsi="Verdana"/>
          <w:b/>
          <w:sz w:val="20"/>
          <w:szCs w:val="20"/>
        </w:rPr>
      </w:pPr>
      <w:r w:rsidRPr="007154F7">
        <w:rPr>
          <w:rFonts w:ascii="Verdana" w:hAnsi="Verdana"/>
          <w:b/>
          <w:sz w:val="20"/>
          <w:szCs w:val="20"/>
        </w:rPr>
        <w:t>5/02 Fond rozvoje bydlení</w:t>
      </w:r>
    </w:p>
    <w:p w:rsidR="00E9158E" w:rsidRPr="007154F7" w:rsidRDefault="00E9158E" w:rsidP="007154F7">
      <w:pPr>
        <w:spacing w:after="0"/>
        <w:jc w:val="both"/>
        <w:rPr>
          <w:rFonts w:ascii="Verdana" w:hAnsi="Verdana"/>
          <w:b/>
          <w:sz w:val="20"/>
          <w:szCs w:val="20"/>
        </w:rPr>
      </w:pPr>
      <w:r w:rsidRPr="007154F7">
        <w:rPr>
          <w:rFonts w:ascii="Verdana" w:hAnsi="Verdana"/>
          <w:b/>
          <w:sz w:val="20"/>
          <w:szCs w:val="20"/>
        </w:rPr>
        <w:t xml:space="preserve">Návrh na rozdělení finančních prostředků z FRB pro rok 2020 (VŘ </w:t>
      </w:r>
      <w:proofErr w:type="spellStart"/>
      <w:proofErr w:type="gramStart"/>
      <w:r w:rsidRPr="007154F7">
        <w:rPr>
          <w:rFonts w:ascii="Verdana" w:hAnsi="Verdana"/>
          <w:b/>
          <w:sz w:val="20"/>
          <w:szCs w:val="20"/>
        </w:rPr>
        <w:t>č.I</w:t>
      </w:r>
      <w:proofErr w:type="spellEnd"/>
      <w:r w:rsidRPr="007154F7">
        <w:rPr>
          <w:rFonts w:ascii="Verdana" w:hAnsi="Verdana"/>
          <w:b/>
          <w:sz w:val="20"/>
          <w:szCs w:val="20"/>
        </w:rPr>
        <w:t>)</w:t>
      </w:r>
      <w:proofErr w:type="gramEnd"/>
    </w:p>
    <w:p w:rsidR="00E9158E" w:rsidRPr="007154F7" w:rsidRDefault="00E9158E" w:rsidP="007154F7">
      <w:pPr>
        <w:spacing w:after="0"/>
        <w:jc w:val="both"/>
        <w:rPr>
          <w:rFonts w:ascii="Verdana" w:hAnsi="Verdana"/>
          <w:sz w:val="20"/>
          <w:szCs w:val="20"/>
        </w:rPr>
      </w:pPr>
      <w:r w:rsidRPr="007154F7">
        <w:rPr>
          <w:rFonts w:ascii="Verdana" w:hAnsi="Verdana"/>
          <w:sz w:val="20"/>
          <w:szCs w:val="20"/>
        </w:rPr>
        <w:t xml:space="preserve">Zápůjčky z Fondu rozvoje bydlení (dále jen FRB) jsou poskytovány na základě obecně závazné vyhlášky Města Kutné Hory č. 1/2019 o vytvoření a použití prostředků zvláštního účelového účtu na podporu rozvoje bydlení na území Města Kutná Hora. </w:t>
      </w:r>
    </w:p>
    <w:p w:rsidR="00E9158E" w:rsidRPr="007154F7" w:rsidRDefault="00E9158E" w:rsidP="007154F7">
      <w:pPr>
        <w:spacing w:after="0"/>
        <w:jc w:val="both"/>
        <w:rPr>
          <w:rFonts w:ascii="Verdana" w:hAnsi="Verdana"/>
          <w:sz w:val="20"/>
          <w:szCs w:val="20"/>
        </w:rPr>
      </w:pPr>
      <w:r w:rsidRPr="007154F7">
        <w:rPr>
          <w:rFonts w:ascii="Verdana" w:hAnsi="Verdana"/>
          <w:sz w:val="20"/>
          <w:szCs w:val="20"/>
        </w:rPr>
        <w:lastRenderedPageBreak/>
        <w:t xml:space="preserve">Na základě usnesení RM č. 904/19 ze dne </w:t>
      </w:r>
      <w:proofErr w:type="gramStart"/>
      <w:r w:rsidRPr="007154F7">
        <w:rPr>
          <w:rFonts w:ascii="Verdana" w:hAnsi="Verdana"/>
          <w:sz w:val="20"/>
          <w:szCs w:val="20"/>
        </w:rPr>
        <w:t>27.11.2019</w:t>
      </w:r>
      <w:proofErr w:type="gramEnd"/>
      <w:r w:rsidRPr="007154F7">
        <w:rPr>
          <w:rFonts w:ascii="Verdana" w:hAnsi="Verdana"/>
          <w:sz w:val="20"/>
          <w:szCs w:val="20"/>
        </w:rPr>
        <w:t xml:space="preserve"> a usnesení ZM č. 209/19 ze dne 10.12.2019 bylo dne 1.2.2020 zahájeno výběrové řízení na poskytování půjček z Fondu rozvoje bydlení. Příjem žádostí byl ukončen dne </w:t>
      </w:r>
      <w:proofErr w:type="gramStart"/>
      <w:r w:rsidRPr="007154F7">
        <w:rPr>
          <w:rFonts w:ascii="Verdana" w:hAnsi="Verdana"/>
          <w:sz w:val="20"/>
          <w:szCs w:val="20"/>
        </w:rPr>
        <w:t>28.2.2020</w:t>
      </w:r>
      <w:proofErr w:type="gramEnd"/>
      <w:r w:rsidRPr="007154F7">
        <w:rPr>
          <w:rFonts w:ascii="Verdana" w:hAnsi="Verdana"/>
          <w:sz w:val="20"/>
          <w:szCs w:val="20"/>
        </w:rPr>
        <w:t>.</w:t>
      </w:r>
    </w:p>
    <w:p w:rsidR="00E9158E" w:rsidRPr="007154F7" w:rsidRDefault="00E9158E" w:rsidP="007154F7">
      <w:pPr>
        <w:spacing w:after="0"/>
        <w:jc w:val="both"/>
        <w:rPr>
          <w:rFonts w:ascii="Verdana" w:eastAsia="Times New Roman" w:hAnsi="Verdana" w:cs="Times New Roman"/>
          <w:sz w:val="20"/>
          <w:szCs w:val="20"/>
          <w:lang w:eastAsia="cs-CZ"/>
        </w:rPr>
      </w:pPr>
      <w:r w:rsidRPr="007154F7">
        <w:rPr>
          <w:rFonts w:ascii="Verdana" w:eastAsia="Times New Roman" w:hAnsi="Verdana" w:cs="Times New Roman"/>
          <w:sz w:val="20"/>
          <w:szCs w:val="20"/>
          <w:lang w:eastAsia="cs-CZ"/>
        </w:rPr>
        <w:t xml:space="preserve">Do VŘ č. I bylo podáno </w:t>
      </w:r>
      <w:r w:rsidRPr="007154F7">
        <w:rPr>
          <w:rFonts w:ascii="Verdana" w:eastAsia="Times New Roman" w:hAnsi="Verdana" w:cs="Times New Roman"/>
          <w:b/>
          <w:sz w:val="20"/>
          <w:szCs w:val="20"/>
          <w:lang w:eastAsia="cs-CZ"/>
        </w:rPr>
        <w:t>7</w:t>
      </w:r>
      <w:r w:rsidRPr="007154F7">
        <w:rPr>
          <w:rFonts w:ascii="Verdana" w:eastAsia="Times New Roman" w:hAnsi="Verdana" w:cs="Times New Roman"/>
          <w:sz w:val="20"/>
          <w:szCs w:val="20"/>
          <w:lang w:eastAsia="cs-CZ"/>
        </w:rPr>
        <w:t xml:space="preserve"> žádostí o zápůjčku. </w:t>
      </w:r>
    </w:p>
    <w:p w:rsidR="00E9158E" w:rsidRPr="007154F7" w:rsidRDefault="00E9158E" w:rsidP="007154F7">
      <w:pPr>
        <w:spacing w:after="0"/>
        <w:jc w:val="both"/>
        <w:rPr>
          <w:rFonts w:ascii="Verdana" w:eastAsia="Times New Roman" w:hAnsi="Verdana" w:cs="Times New Roman"/>
          <w:sz w:val="20"/>
          <w:szCs w:val="20"/>
          <w:lang w:eastAsia="cs-CZ"/>
        </w:rPr>
      </w:pPr>
      <w:r w:rsidRPr="007154F7">
        <w:rPr>
          <w:rFonts w:ascii="Verdana" w:eastAsia="Times New Roman" w:hAnsi="Verdana" w:cs="Times New Roman"/>
          <w:sz w:val="20"/>
          <w:szCs w:val="20"/>
          <w:lang w:eastAsia="cs-CZ"/>
        </w:rPr>
        <w:t xml:space="preserve">Celková výše požadavků: </w:t>
      </w:r>
      <w:r w:rsidRPr="007154F7">
        <w:rPr>
          <w:rFonts w:ascii="Verdana" w:eastAsia="Times New Roman" w:hAnsi="Verdana" w:cs="Times New Roman"/>
          <w:b/>
          <w:sz w:val="20"/>
          <w:szCs w:val="20"/>
          <w:lang w:eastAsia="cs-CZ"/>
        </w:rPr>
        <w:t>1 230 000,- Kč.</w:t>
      </w:r>
    </w:p>
    <w:p w:rsidR="001B7C5D" w:rsidRPr="007154F7" w:rsidRDefault="001B7C5D" w:rsidP="007154F7">
      <w:pPr>
        <w:spacing w:after="0"/>
        <w:jc w:val="both"/>
        <w:rPr>
          <w:rFonts w:ascii="Verdana" w:hAnsi="Verdana"/>
          <w:b/>
          <w:sz w:val="20"/>
          <w:szCs w:val="20"/>
          <w:u w:val="single"/>
        </w:rPr>
      </w:pPr>
    </w:p>
    <w:p w:rsidR="001B7C5D" w:rsidRPr="007154F7" w:rsidRDefault="00335172" w:rsidP="007154F7">
      <w:pPr>
        <w:spacing w:after="0"/>
        <w:jc w:val="both"/>
        <w:rPr>
          <w:rFonts w:ascii="Verdana" w:hAnsi="Verdana"/>
          <w:b/>
          <w:sz w:val="20"/>
          <w:szCs w:val="20"/>
          <w:u w:val="single"/>
        </w:rPr>
      </w:pPr>
      <w:r w:rsidRPr="007154F7">
        <w:rPr>
          <w:rFonts w:ascii="Verdana" w:hAnsi="Verdana"/>
          <w:b/>
          <w:sz w:val="20"/>
          <w:szCs w:val="20"/>
          <w:u w:val="single"/>
        </w:rPr>
        <w:t>Odbor investic</w:t>
      </w:r>
    </w:p>
    <w:p w:rsidR="00D66DD5" w:rsidRPr="007154F7" w:rsidRDefault="00D66DD5" w:rsidP="007154F7">
      <w:pPr>
        <w:spacing w:after="0"/>
        <w:jc w:val="both"/>
        <w:rPr>
          <w:rFonts w:ascii="Verdana" w:hAnsi="Verdana"/>
          <w:b/>
          <w:sz w:val="20"/>
          <w:szCs w:val="20"/>
        </w:rPr>
      </w:pPr>
      <w:r w:rsidRPr="007154F7">
        <w:rPr>
          <w:rFonts w:ascii="Verdana" w:hAnsi="Verdana"/>
          <w:b/>
          <w:bCs/>
          <w:sz w:val="20"/>
          <w:szCs w:val="20"/>
        </w:rPr>
        <w:t xml:space="preserve">6/50 </w:t>
      </w:r>
      <w:r w:rsidRPr="007154F7">
        <w:rPr>
          <w:rFonts w:ascii="Verdana" w:hAnsi="Verdana"/>
          <w:b/>
          <w:sz w:val="20"/>
          <w:szCs w:val="20"/>
        </w:rPr>
        <w:t>Rozpočtové opatření  INV – TO č. 1 – 3/20</w:t>
      </w:r>
    </w:p>
    <w:p w:rsidR="00D66DD5" w:rsidRPr="007154F7" w:rsidRDefault="00D66DD5" w:rsidP="007154F7">
      <w:pPr>
        <w:spacing w:after="0"/>
        <w:jc w:val="both"/>
        <w:rPr>
          <w:rFonts w:ascii="Verdana" w:hAnsi="Verdana"/>
          <w:b/>
          <w:sz w:val="20"/>
          <w:szCs w:val="20"/>
        </w:rPr>
      </w:pPr>
      <w:r w:rsidRPr="007154F7">
        <w:rPr>
          <w:rFonts w:ascii="Verdana" w:hAnsi="Verdana"/>
          <w:sz w:val="20"/>
          <w:szCs w:val="20"/>
        </w:rPr>
        <w:t xml:space="preserve">Rada města Kutné Hory svým usnesením č. 194/20 ze dne 4. 3. 2020 doporučuje zastupitelstvu města schválit předložený návrh, kterým dochází k navýšení investiční výdajové položky Dětské hřiště-DHM ve výši 500.000,--Kč, , k vytvoření investiční položky Napojení prodejny </w:t>
      </w:r>
      <w:proofErr w:type="spellStart"/>
      <w:r w:rsidRPr="007154F7">
        <w:rPr>
          <w:rFonts w:ascii="Verdana" w:hAnsi="Verdana"/>
          <w:sz w:val="20"/>
          <w:szCs w:val="20"/>
        </w:rPr>
        <w:t>MaxiHit</w:t>
      </w:r>
      <w:proofErr w:type="spellEnd"/>
      <w:r w:rsidRPr="007154F7">
        <w:rPr>
          <w:rFonts w:ascii="Verdana" w:hAnsi="Verdana"/>
          <w:sz w:val="20"/>
          <w:szCs w:val="20"/>
        </w:rPr>
        <w:t xml:space="preserve">-z roku 2019 ve výši 871.620,--Kč a k navýšení rozpočtové položky PD vodovodních a kan. </w:t>
      </w:r>
      <w:proofErr w:type="gramStart"/>
      <w:r w:rsidRPr="007154F7">
        <w:rPr>
          <w:rFonts w:ascii="Verdana" w:hAnsi="Verdana"/>
          <w:sz w:val="20"/>
          <w:szCs w:val="20"/>
        </w:rPr>
        <w:t>přípojek</w:t>
      </w:r>
      <w:proofErr w:type="gramEnd"/>
      <w:r w:rsidRPr="007154F7">
        <w:rPr>
          <w:rFonts w:ascii="Verdana" w:hAnsi="Verdana"/>
          <w:sz w:val="20"/>
          <w:szCs w:val="20"/>
        </w:rPr>
        <w:t xml:space="preserve"> Perštejnec, Neškaredice ve výši 320.410,--Kč.</w:t>
      </w:r>
    </w:p>
    <w:p w:rsidR="00D66DD5" w:rsidRPr="007154F7" w:rsidRDefault="00D66DD5" w:rsidP="007154F7">
      <w:pPr>
        <w:spacing w:after="0"/>
        <w:jc w:val="both"/>
        <w:rPr>
          <w:rFonts w:ascii="Verdana" w:hAnsi="Verdana"/>
          <w:b/>
          <w:sz w:val="20"/>
          <w:szCs w:val="20"/>
          <w:u w:val="single"/>
        </w:rPr>
      </w:pPr>
    </w:p>
    <w:p w:rsidR="00F1197E" w:rsidRPr="00BF6102" w:rsidRDefault="00F1197E" w:rsidP="00BF6102">
      <w:pPr>
        <w:spacing w:after="0"/>
        <w:jc w:val="both"/>
        <w:rPr>
          <w:rFonts w:ascii="Verdana" w:hAnsi="Verdana"/>
          <w:b/>
          <w:sz w:val="20"/>
          <w:szCs w:val="20"/>
          <w:u w:val="single"/>
        </w:rPr>
      </w:pPr>
      <w:r w:rsidRPr="00BF6102">
        <w:rPr>
          <w:rFonts w:ascii="Verdana" w:hAnsi="Verdana"/>
          <w:b/>
          <w:sz w:val="20"/>
          <w:szCs w:val="20"/>
          <w:u w:val="single"/>
        </w:rPr>
        <w:t>Odbor sociálních věcí a zdravotnictví</w:t>
      </w:r>
    </w:p>
    <w:p w:rsidR="00BF6102" w:rsidRPr="00BF6102" w:rsidRDefault="00BF6102" w:rsidP="00BF6102">
      <w:pPr>
        <w:spacing w:after="0"/>
        <w:jc w:val="both"/>
        <w:rPr>
          <w:rFonts w:ascii="Verdana" w:hAnsi="Verdana"/>
          <w:sz w:val="20"/>
          <w:szCs w:val="20"/>
        </w:rPr>
      </w:pPr>
      <w:r w:rsidRPr="00BF6102">
        <w:rPr>
          <w:rFonts w:ascii="Verdana" w:hAnsi="Verdana"/>
          <w:b/>
          <w:sz w:val="20"/>
          <w:szCs w:val="20"/>
        </w:rPr>
        <w:t>7/02</w:t>
      </w:r>
      <w:r w:rsidRPr="00BF6102">
        <w:rPr>
          <w:rFonts w:ascii="Verdana" w:hAnsi="Verdana"/>
          <w:sz w:val="20"/>
          <w:szCs w:val="20"/>
        </w:rPr>
        <w:t xml:space="preserve"> </w:t>
      </w:r>
      <w:r w:rsidRPr="00BF6102">
        <w:rPr>
          <w:rFonts w:ascii="Verdana" w:hAnsi="Verdana"/>
          <w:b/>
          <w:noProof/>
          <w:sz w:val="20"/>
          <w:szCs w:val="20"/>
        </w:rPr>
        <w:t>Financování Pečovatelské služby na základě Smlouvy o pověření k poskytování služby obecného hospodářského zájmu</w:t>
      </w:r>
      <w:r w:rsidRPr="00BF6102">
        <w:rPr>
          <w:rFonts w:ascii="Verdana" w:hAnsi="Verdana"/>
          <w:sz w:val="20"/>
          <w:szCs w:val="20"/>
        </w:rPr>
        <w:t xml:space="preserve"> </w:t>
      </w:r>
    </w:p>
    <w:p w:rsidR="00BF6102" w:rsidRPr="00BF6102" w:rsidRDefault="00BF6102" w:rsidP="00BF6102">
      <w:pPr>
        <w:spacing w:after="0"/>
        <w:jc w:val="both"/>
        <w:rPr>
          <w:rFonts w:ascii="Verdana" w:hAnsi="Verdana"/>
          <w:sz w:val="20"/>
          <w:szCs w:val="20"/>
        </w:rPr>
      </w:pPr>
      <w:r w:rsidRPr="00BF6102">
        <w:rPr>
          <w:rFonts w:ascii="Verdana" w:hAnsi="Verdana"/>
          <w:sz w:val="20"/>
          <w:szCs w:val="20"/>
        </w:rPr>
        <w:t>Zastupitelstvo města Kutná Hora schválilo pro rok 2020 usnesením č. 213/19 ze dne 17. 12. 2019 poskytnutí příspěvku ve výši 6.600.000,- Kč příspěvkové organizaci Pečovatelská služba Kutná Hora na krytí nezbytných nákladů vynaložených na zajištění dostupnosti poskytování registrovaných sociálních služeb: centrum denních služeb a pečovatelská služba. Služby jsou poskytovány dle §40 a 45 zákona č. 108/2006 Sb., o sociálních službách, ve znění pozdějších předpisů.</w:t>
      </w:r>
    </w:p>
    <w:p w:rsidR="00BF6102" w:rsidRPr="00BF6102" w:rsidRDefault="00BF6102" w:rsidP="00BF6102">
      <w:pPr>
        <w:spacing w:after="0"/>
        <w:jc w:val="both"/>
        <w:rPr>
          <w:rFonts w:ascii="Verdana" w:hAnsi="Verdana"/>
          <w:sz w:val="20"/>
          <w:szCs w:val="20"/>
        </w:rPr>
      </w:pPr>
      <w:r w:rsidRPr="00BF6102">
        <w:rPr>
          <w:rFonts w:ascii="Verdana" w:hAnsi="Verdana"/>
          <w:sz w:val="20"/>
          <w:szCs w:val="20"/>
        </w:rPr>
        <w:t>Financování tohoto příspěvku Města Kutná Hora je prováděno na základě Smlouvy o pověření k poskytování služby obecného hospodářského zájmu číslo S-0614/SOC/2020 (viz. příloha - Smlouva o pověření k poskytování služby obecného hospodářského zájmu číslo S-0614/SOC/2020), které bylo vydáno Pečovatelské službě Města Kutná Hora Středočeským krajem dne </w:t>
      </w:r>
      <w:proofErr w:type="gramStart"/>
      <w:r w:rsidRPr="00BF6102">
        <w:rPr>
          <w:rFonts w:ascii="Verdana" w:hAnsi="Verdana"/>
          <w:sz w:val="20"/>
          <w:szCs w:val="20"/>
        </w:rPr>
        <w:t>28.2.2020</w:t>
      </w:r>
      <w:proofErr w:type="gramEnd"/>
      <w:r w:rsidRPr="00BF6102">
        <w:rPr>
          <w:rFonts w:ascii="Verdana" w:hAnsi="Verdana"/>
          <w:sz w:val="20"/>
          <w:szCs w:val="20"/>
        </w:rPr>
        <w:t xml:space="preserve"> (podepsáno Pečovatelskou službou 21.2.2020) a ke kterému tímto Město Kutná Hora přistupuje. </w:t>
      </w:r>
    </w:p>
    <w:p w:rsidR="00BF6102" w:rsidRDefault="00BF6102" w:rsidP="00BF6102">
      <w:pPr>
        <w:spacing w:after="0"/>
        <w:jc w:val="both"/>
        <w:rPr>
          <w:rFonts w:ascii="Verdana" w:hAnsi="Verdana"/>
          <w:sz w:val="20"/>
          <w:szCs w:val="20"/>
        </w:rPr>
      </w:pPr>
      <w:r w:rsidRPr="00BF6102">
        <w:rPr>
          <w:rFonts w:ascii="Verdana" w:hAnsi="Verdana"/>
          <w:sz w:val="20"/>
          <w:szCs w:val="20"/>
        </w:rPr>
        <w:t xml:space="preserve">Tento příspěvek tvoří nedílnou součást jednotné vyrovnávací platby hrazené příspěvkové organizaci Pečovatelská služba Kutná Hora v souladu s Rozhodnutím Komise o použití čl. 106 odst. 2 Smlouvy o fungování Evropské unie na státní podporu ve formě vyrovnávací platby za závazek veřejné služby udělené určitým podnikům pověřeným poskytováním služeb obecného hospodářského zájmu (2012/21/EU, </w:t>
      </w:r>
      <w:proofErr w:type="spellStart"/>
      <w:r w:rsidRPr="00BF6102">
        <w:rPr>
          <w:rFonts w:ascii="Verdana" w:hAnsi="Verdana"/>
          <w:sz w:val="20"/>
          <w:szCs w:val="20"/>
        </w:rPr>
        <w:t>Úř</w:t>
      </w:r>
      <w:proofErr w:type="spellEnd"/>
      <w:r w:rsidRPr="00BF6102">
        <w:rPr>
          <w:rFonts w:ascii="Verdana" w:hAnsi="Verdana"/>
          <w:sz w:val="20"/>
          <w:szCs w:val="20"/>
        </w:rPr>
        <w:t xml:space="preserve">. </w:t>
      </w:r>
      <w:proofErr w:type="gramStart"/>
      <w:r w:rsidRPr="00BF6102">
        <w:rPr>
          <w:rFonts w:ascii="Verdana" w:hAnsi="Verdana"/>
          <w:sz w:val="20"/>
          <w:szCs w:val="20"/>
        </w:rPr>
        <w:t>věs</w:t>
      </w:r>
      <w:proofErr w:type="gramEnd"/>
      <w:r w:rsidRPr="00BF6102">
        <w:rPr>
          <w:rFonts w:ascii="Verdana" w:hAnsi="Verdana"/>
          <w:sz w:val="20"/>
          <w:szCs w:val="20"/>
        </w:rPr>
        <w:t xml:space="preserve">. L7, 11.1.2012,cit. dne </w:t>
      </w:r>
      <w:proofErr w:type="gramStart"/>
      <w:r w:rsidRPr="00BF6102">
        <w:rPr>
          <w:rFonts w:ascii="Verdana" w:hAnsi="Verdana"/>
          <w:sz w:val="20"/>
          <w:szCs w:val="20"/>
        </w:rPr>
        <w:t>14.1.2019</w:t>
      </w:r>
      <w:proofErr w:type="gramEnd"/>
      <w:r w:rsidRPr="00BF6102">
        <w:rPr>
          <w:rFonts w:ascii="Verdana" w:hAnsi="Verdana"/>
          <w:sz w:val="20"/>
          <w:szCs w:val="20"/>
        </w:rPr>
        <w:t xml:space="preserve">, dostupné online: </w:t>
      </w:r>
    </w:p>
    <w:bookmarkStart w:id="1" w:name="_GoBack"/>
    <w:bookmarkEnd w:id="1"/>
    <w:p w:rsidR="005526EB" w:rsidRPr="00BF6102" w:rsidRDefault="00BF6102" w:rsidP="00BF6102">
      <w:pPr>
        <w:spacing w:after="0"/>
        <w:jc w:val="both"/>
        <w:rPr>
          <w:rFonts w:ascii="Verdana" w:hAnsi="Verdana" w:cs="Times New Roman"/>
          <w:b/>
          <w:sz w:val="20"/>
          <w:szCs w:val="20"/>
          <w:u w:val="single"/>
        </w:rPr>
      </w:pPr>
      <w:r w:rsidRPr="00BF6102">
        <w:rPr>
          <w:rFonts w:ascii="Verdana" w:hAnsi="Verdana"/>
          <w:sz w:val="20"/>
          <w:szCs w:val="20"/>
        </w:rPr>
        <w:fldChar w:fldCharType="begin"/>
      </w:r>
      <w:r w:rsidRPr="00BF6102">
        <w:rPr>
          <w:rFonts w:ascii="Verdana" w:hAnsi="Verdana"/>
          <w:sz w:val="20"/>
          <w:szCs w:val="20"/>
        </w:rPr>
        <w:instrText xml:space="preserve"> HYPERLINK "https://eur-lex.europa.eu/legal-content/cs/TXT/?uri=CELEX:32012D0021" </w:instrText>
      </w:r>
      <w:r w:rsidRPr="00BF6102">
        <w:rPr>
          <w:rFonts w:ascii="Verdana" w:hAnsi="Verdana"/>
          <w:sz w:val="20"/>
          <w:szCs w:val="20"/>
        </w:rPr>
        <w:fldChar w:fldCharType="separate"/>
      </w:r>
      <w:r w:rsidRPr="00BF6102">
        <w:rPr>
          <w:rStyle w:val="Hypertextovodkaz"/>
          <w:rFonts w:ascii="Verdana" w:hAnsi="Verdana"/>
          <w:color w:val="auto"/>
          <w:sz w:val="20"/>
          <w:szCs w:val="20"/>
        </w:rPr>
        <w:t>https://eur-lex.europa.eu/legal-content/cs/TXT/?uri=CELEX:32012D0021</w:t>
      </w:r>
      <w:r w:rsidRPr="00BF6102">
        <w:rPr>
          <w:rFonts w:ascii="Verdana" w:hAnsi="Verdana"/>
          <w:sz w:val="20"/>
          <w:szCs w:val="20"/>
        </w:rPr>
        <w:fldChar w:fldCharType="end"/>
      </w:r>
    </w:p>
    <w:p w:rsidR="007B35A6" w:rsidRPr="007154F7" w:rsidRDefault="007B35A6" w:rsidP="007154F7">
      <w:pPr>
        <w:spacing w:after="0"/>
        <w:jc w:val="both"/>
        <w:rPr>
          <w:rFonts w:ascii="Verdana" w:hAnsi="Verdana"/>
          <w:b/>
          <w:sz w:val="20"/>
          <w:szCs w:val="20"/>
          <w:u w:val="single"/>
          <w:lang w:eastAsia="x-none"/>
        </w:rPr>
      </w:pPr>
    </w:p>
    <w:sectPr w:rsidR="007B35A6" w:rsidRPr="007154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EB5" w:rsidRDefault="00FB3EB5" w:rsidP="008C5832">
      <w:pPr>
        <w:spacing w:after="0" w:line="240" w:lineRule="auto"/>
      </w:pPr>
      <w:r>
        <w:separator/>
      </w:r>
    </w:p>
  </w:endnote>
  <w:endnote w:type="continuationSeparator" w:id="0">
    <w:p w:rsidR="00FB3EB5" w:rsidRDefault="00FB3EB5" w:rsidP="008C5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EB5" w:rsidRDefault="00FB3EB5" w:rsidP="008C5832">
      <w:pPr>
        <w:spacing w:after="0" w:line="240" w:lineRule="auto"/>
      </w:pPr>
      <w:r>
        <w:separator/>
      </w:r>
    </w:p>
  </w:footnote>
  <w:footnote w:type="continuationSeparator" w:id="0">
    <w:p w:rsidR="00FB3EB5" w:rsidRDefault="00FB3EB5" w:rsidP="008C5832">
      <w:pPr>
        <w:spacing w:after="0" w:line="240" w:lineRule="auto"/>
      </w:pPr>
      <w:r>
        <w:continuationSeparator/>
      </w:r>
    </w:p>
  </w:footnote>
  <w:footnote w:id="1">
    <w:p w:rsidR="007154F7" w:rsidRDefault="007154F7" w:rsidP="004B6D91">
      <w:pPr>
        <w:pStyle w:val="Textpoznpodarou"/>
      </w:pPr>
      <w:r>
        <w:rPr>
          <w:rStyle w:val="Znakapoznpodarou"/>
        </w:rPr>
        <w:footnoteRef/>
      </w:r>
      <w:r>
        <w:t xml:space="preserve"> </w:t>
      </w:r>
      <w:r w:rsidRPr="00281C5D">
        <w:t>Centrální systém účetních informací státu</w:t>
      </w:r>
    </w:p>
  </w:footnote>
  <w:footnote w:id="2">
    <w:p w:rsidR="007154F7" w:rsidRPr="00596C4A" w:rsidRDefault="007154F7" w:rsidP="004B6D91">
      <w:pPr>
        <w:pStyle w:val="Textpoznpodarou"/>
        <w:rPr>
          <w:sz w:val="18"/>
          <w:szCs w:val="18"/>
        </w:rPr>
      </w:pPr>
      <w:r w:rsidRPr="00596C4A">
        <w:rPr>
          <w:rStyle w:val="Znakapoznpodarou"/>
          <w:sz w:val="18"/>
          <w:szCs w:val="18"/>
        </w:rPr>
        <w:footnoteRef/>
      </w:r>
      <w:r w:rsidRPr="00596C4A">
        <w:rPr>
          <w:sz w:val="18"/>
          <w:szCs w:val="18"/>
        </w:rPr>
        <w:t xml:space="preserve"> M</w:t>
      </w:r>
      <w:r w:rsidRPr="00596C4A">
        <w:rPr>
          <w:sz w:val="18"/>
          <w:szCs w:val="18"/>
          <w:shd w:val="clear" w:color="auto" w:fill="FFFFFF"/>
        </w:rPr>
        <w:t xml:space="preserve">anažerská metoda, která se u nás začíná realizovat v projektu, do něhož se </w:t>
      </w:r>
      <w:r>
        <w:rPr>
          <w:sz w:val="18"/>
          <w:szCs w:val="18"/>
          <w:shd w:val="clear" w:color="auto" w:fill="FFFFFF"/>
        </w:rPr>
        <w:t xml:space="preserve">můžou přihlásit </w:t>
      </w:r>
      <w:r w:rsidRPr="00596C4A">
        <w:rPr>
          <w:sz w:val="18"/>
          <w:szCs w:val="18"/>
          <w:shd w:val="clear" w:color="auto" w:fill="FFFFFF"/>
        </w:rPr>
        <w:t>obc</w:t>
      </w:r>
      <w:r>
        <w:rPr>
          <w:sz w:val="18"/>
          <w:szCs w:val="18"/>
          <w:shd w:val="clear" w:color="auto" w:fill="FFFFFF"/>
        </w:rPr>
        <w:t>e</w:t>
      </w:r>
      <w:r w:rsidRPr="00596C4A">
        <w:rPr>
          <w:sz w:val="18"/>
          <w:szCs w:val="18"/>
          <w:shd w:val="clear" w:color="auto" w:fill="FFFFFF"/>
        </w:rPr>
        <w:t xml:space="preserve"> s rozšířenou působností. Podstatou </w:t>
      </w:r>
      <w:proofErr w:type="spellStart"/>
      <w:r w:rsidRPr="00596C4A">
        <w:rPr>
          <w:sz w:val="18"/>
          <w:szCs w:val="18"/>
          <w:shd w:val="clear" w:color="auto" w:fill="FFFFFF"/>
        </w:rPr>
        <w:t>benchmarkingu</w:t>
      </w:r>
      <w:proofErr w:type="spellEnd"/>
      <w:r w:rsidRPr="00596C4A">
        <w:rPr>
          <w:sz w:val="18"/>
          <w:szCs w:val="18"/>
          <w:shd w:val="clear" w:color="auto" w:fill="FFFFFF"/>
        </w:rPr>
        <w:t xml:space="preserve">, obecně řečeno, je měření a analýza procesů a výkonů organizace, kdy prostřednictvím systematického porovnávání s výkonem ostatních se pro rozhodování hledají nejlepší řešení. </w:t>
      </w:r>
    </w:p>
  </w:footnote>
  <w:footnote w:id="3">
    <w:p w:rsidR="007154F7" w:rsidRPr="00387391" w:rsidRDefault="007154F7" w:rsidP="004B6D91">
      <w:pPr>
        <w:pStyle w:val="Textpoznpodarou"/>
        <w:rPr>
          <w:sz w:val="18"/>
        </w:rPr>
      </w:pPr>
      <w:r w:rsidRPr="00387391">
        <w:rPr>
          <w:rStyle w:val="Znakapoznpodarou"/>
          <w:sz w:val="18"/>
        </w:rPr>
        <w:footnoteRef/>
      </w:r>
      <w:r w:rsidRPr="00387391">
        <w:rPr>
          <w:sz w:val="18"/>
        </w:rPr>
        <w:t xml:space="preserve"> Původně plánovaná částka 7.350.000 Kč vyjadřovala maximální možnou zátěž pro rozpočet města vyplývající z finančního plánu před aktualizací harmonogramu projektu, tj. ještě za předpokladu, že v roce 2020 proběhne podstatná část stavebních prací.</w:t>
      </w:r>
    </w:p>
  </w:footnote>
  <w:footnote w:id="4">
    <w:p w:rsidR="007154F7" w:rsidRPr="00497217" w:rsidRDefault="007154F7" w:rsidP="004B6D91">
      <w:pPr>
        <w:pStyle w:val="Textpoznpodarou"/>
        <w:rPr>
          <w:rFonts w:ascii="Arial" w:hAnsi="Arial"/>
        </w:rPr>
      </w:pPr>
      <w:r w:rsidRPr="00387391">
        <w:rPr>
          <w:rStyle w:val="Znakapoznpodarou"/>
          <w:sz w:val="18"/>
        </w:rPr>
        <w:footnoteRef/>
      </w:r>
      <w:r w:rsidRPr="00387391">
        <w:rPr>
          <w:sz w:val="18"/>
        </w:rPr>
        <w:t xml:space="preserve"> Využití úprav harmonogramu projektu po přizpůsobení rozložení výdajů v jednotlivých letech možnostem města s ohledem na další probíhající investiční projekty bylo projednáno již na pracovním jednání ZM 19. 2. 2018 </w:t>
      </w:r>
    </w:p>
  </w:footnote>
  <w:footnote w:id="5">
    <w:p w:rsidR="007154F7" w:rsidRPr="00BD5B1C" w:rsidRDefault="007154F7" w:rsidP="004B6D91">
      <w:pPr>
        <w:rPr>
          <w:sz w:val="18"/>
          <w:szCs w:val="18"/>
        </w:rPr>
      </w:pPr>
      <w:r w:rsidRPr="00BD5B1C">
        <w:rPr>
          <w:rStyle w:val="Znakapoznpodarou"/>
          <w:sz w:val="18"/>
          <w:szCs w:val="18"/>
        </w:rPr>
        <w:footnoteRef/>
      </w:r>
      <w:r w:rsidRPr="00BD5B1C">
        <w:rPr>
          <w:sz w:val="18"/>
          <w:szCs w:val="18"/>
        </w:rPr>
        <w:t xml:space="preserve"> Od projektu lze kdykoliv odstoupit, což provádí a podepisuje v ISKP2014+ signatář, tj. starosta. Vždy je ale nutné odstoupení zdůvodnit.</w:t>
      </w:r>
    </w:p>
  </w:footnote>
  <w:footnote w:id="6">
    <w:p w:rsidR="007154F7" w:rsidRPr="00BD5B1C" w:rsidRDefault="007154F7" w:rsidP="004B6D91">
      <w:pPr>
        <w:pStyle w:val="Textpoznpodarou"/>
        <w:rPr>
          <w:sz w:val="18"/>
          <w:szCs w:val="18"/>
        </w:rPr>
      </w:pPr>
      <w:r w:rsidRPr="00BD5B1C">
        <w:rPr>
          <w:rStyle w:val="Znakapoznpodarou"/>
          <w:sz w:val="18"/>
          <w:szCs w:val="18"/>
        </w:rPr>
        <w:footnoteRef/>
      </w:r>
      <w:r w:rsidRPr="00BD5B1C">
        <w:rPr>
          <w:sz w:val="18"/>
          <w:szCs w:val="18"/>
        </w:rPr>
        <w:t xml:space="preserve"> Hrubý odhad cca 25% z odměny</w:t>
      </w:r>
    </w:p>
  </w:footnote>
  <w:footnote w:id="7">
    <w:p w:rsidR="007154F7" w:rsidRPr="00BD5B1C" w:rsidRDefault="007154F7" w:rsidP="004B6D91">
      <w:pPr>
        <w:pStyle w:val="Textpoznpodarou"/>
        <w:rPr>
          <w:sz w:val="18"/>
          <w:szCs w:val="18"/>
        </w:rPr>
      </w:pPr>
      <w:r w:rsidRPr="00BD5B1C">
        <w:rPr>
          <w:rStyle w:val="Znakapoznpodarou"/>
          <w:sz w:val="18"/>
          <w:szCs w:val="18"/>
        </w:rPr>
        <w:footnoteRef/>
      </w:r>
      <w:r w:rsidRPr="00BD5B1C">
        <w:rPr>
          <w:sz w:val="18"/>
          <w:szCs w:val="18"/>
        </w:rPr>
        <w:t xml:space="preserve"> Hrubý odhad</w:t>
      </w:r>
    </w:p>
  </w:footnote>
  <w:footnote w:id="8">
    <w:p w:rsidR="007154F7" w:rsidRDefault="007154F7" w:rsidP="004B6D91">
      <w:pPr>
        <w:pStyle w:val="Textpoznpodarou"/>
      </w:pPr>
      <w:r w:rsidRPr="00BD5B1C">
        <w:rPr>
          <w:rStyle w:val="Znakapoznpodarou"/>
          <w:sz w:val="18"/>
          <w:szCs w:val="18"/>
        </w:rPr>
        <w:footnoteRef/>
      </w:r>
      <w:r w:rsidRPr="00BD5B1C">
        <w:rPr>
          <w:sz w:val="18"/>
          <w:szCs w:val="18"/>
        </w:rPr>
        <w:t xml:space="preserve"> Rozdíl oproti „nulové variantě“, tedy variantě pokračování realizace projektu. V této bilanci není započítána spoluúčast 1ET a 2ET. Ostatní položky budou mít přímý vliv na rozpočet města 2020.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F1880"/>
    <w:multiLevelType w:val="hybridMultilevel"/>
    <w:tmpl w:val="91F04D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9182D0D"/>
    <w:multiLevelType w:val="hybridMultilevel"/>
    <w:tmpl w:val="2DDCB758"/>
    <w:lvl w:ilvl="0" w:tplc="03A06252">
      <w:start w:val="2"/>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2D74204E">
      <w:numFmt w:val="bullet"/>
      <w:lvlText w:val="•"/>
      <w:lvlJc w:val="left"/>
      <w:pPr>
        <w:ind w:left="2505" w:hanging="705"/>
      </w:pPr>
      <w:rPr>
        <w:rFonts w:ascii="Verdana" w:eastAsiaTheme="minorHAnsi" w:hAnsi="Verdana" w:cstheme="minorBidi"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F9A4B5C"/>
    <w:multiLevelType w:val="hybridMultilevel"/>
    <w:tmpl w:val="D39CA296"/>
    <w:lvl w:ilvl="0" w:tplc="6CE2A956">
      <w:start w:val="1"/>
      <w:numFmt w:val="decimal"/>
      <w:lvlText w:val="%1)"/>
      <w:lvlJc w:val="left"/>
      <w:pPr>
        <w:ind w:left="220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D2E2807"/>
    <w:multiLevelType w:val="hybridMultilevel"/>
    <w:tmpl w:val="7F64BC9C"/>
    <w:lvl w:ilvl="0" w:tplc="03A06252">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3A06252">
      <w:start w:val="2"/>
      <w:numFmt w:val="bullet"/>
      <w:lvlText w:val="-"/>
      <w:lvlJc w:val="left"/>
      <w:pPr>
        <w:ind w:left="2160" w:hanging="360"/>
      </w:pPr>
      <w:rPr>
        <w:rFonts w:ascii="Calibri" w:eastAsiaTheme="minorHAnsi" w:hAnsi="Calibri" w:cs="Calibri"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618"/>
    <w:rsid w:val="0001579F"/>
    <w:rsid w:val="00041E2A"/>
    <w:rsid w:val="00050C7E"/>
    <w:rsid w:val="000B5277"/>
    <w:rsid w:val="000E5277"/>
    <w:rsid w:val="000F02BC"/>
    <w:rsid w:val="00101C11"/>
    <w:rsid w:val="00105E3B"/>
    <w:rsid w:val="0012104C"/>
    <w:rsid w:val="001462A4"/>
    <w:rsid w:val="00154C9C"/>
    <w:rsid w:val="001560C4"/>
    <w:rsid w:val="00185A88"/>
    <w:rsid w:val="001A716D"/>
    <w:rsid w:val="001B7C5D"/>
    <w:rsid w:val="001E0BED"/>
    <w:rsid w:val="001E3690"/>
    <w:rsid w:val="002373B9"/>
    <w:rsid w:val="00237D8E"/>
    <w:rsid w:val="00243A5C"/>
    <w:rsid w:val="00256B5C"/>
    <w:rsid w:val="00266D8E"/>
    <w:rsid w:val="00267D05"/>
    <w:rsid w:val="00271A28"/>
    <w:rsid w:val="00285F0D"/>
    <w:rsid w:val="00287EA1"/>
    <w:rsid w:val="003126E8"/>
    <w:rsid w:val="00335172"/>
    <w:rsid w:val="003455DD"/>
    <w:rsid w:val="003801C0"/>
    <w:rsid w:val="003C4618"/>
    <w:rsid w:val="003F158E"/>
    <w:rsid w:val="003F2C0E"/>
    <w:rsid w:val="003F6341"/>
    <w:rsid w:val="004020B4"/>
    <w:rsid w:val="00415690"/>
    <w:rsid w:val="004411FD"/>
    <w:rsid w:val="00446976"/>
    <w:rsid w:val="004B6D91"/>
    <w:rsid w:val="004D5886"/>
    <w:rsid w:val="004E3359"/>
    <w:rsid w:val="004F3458"/>
    <w:rsid w:val="004F5DD1"/>
    <w:rsid w:val="00550014"/>
    <w:rsid w:val="00551F6C"/>
    <w:rsid w:val="005526EB"/>
    <w:rsid w:val="00566426"/>
    <w:rsid w:val="0057378A"/>
    <w:rsid w:val="00574467"/>
    <w:rsid w:val="00583676"/>
    <w:rsid w:val="00587509"/>
    <w:rsid w:val="005C3BF6"/>
    <w:rsid w:val="005D3AFA"/>
    <w:rsid w:val="005E0AAE"/>
    <w:rsid w:val="005F464C"/>
    <w:rsid w:val="00611C4F"/>
    <w:rsid w:val="00634180"/>
    <w:rsid w:val="00647C43"/>
    <w:rsid w:val="0065712F"/>
    <w:rsid w:val="00664B42"/>
    <w:rsid w:val="00673FF7"/>
    <w:rsid w:val="006806B2"/>
    <w:rsid w:val="006B3C56"/>
    <w:rsid w:val="006D25BB"/>
    <w:rsid w:val="006D5202"/>
    <w:rsid w:val="006D5DD6"/>
    <w:rsid w:val="006F107E"/>
    <w:rsid w:val="00704938"/>
    <w:rsid w:val="007154F7"/>
    <w:rsid w:val="007351F8"/>
    <w:rsid w:val="00761366"/>
    <w:rsid w:val="0076735B"/>
    <w:rsid w:val="00774FCF"/>
    <w:rsid w:val="007801D0"/>
    <w:rsid w:val="00783943"/>
    <w:rsid w:val="00785578"/>
    <w:rsid w:val="007B35A6"/>
    <w:rsid w:val="007F3D77"/>
    <w:rsid w:val="00805CD7"/>
    <w:rsid w:val="00817F58"/>
    <w:rsid w:val="00830D7F"/>
    <w:rsid w:val="0086015F"/>
    <w:rsid w:val="008A15AE"/>
    <w:rsid w:val="008C5832"/>
    <w:rsid w:val="008C6EC4"/>
    <w:rsid w:val="008D19C3"/>
    <w:rsid w:val="008E6205"/>
    <w:rsid w:val="00914FB1"/>
    <w:rsid w:val="009331E1"/>
    <w:rsid w:val="009344C3"/>
    <w:rsid w:val="00945A6F"/>
    <w:rsid w:val="009621CF"/>
    <w:rsid w:val="00973FAB"/>
    <w:rsid w:val="0099342E"/>
    <w:rsid w:val="009B289C"/>
    <w:rsid w:val="009C530E"/>
    <w:rsid w:val="009D4C61"/>
    <w:rsid w:val="009E1FB9"/>
    <w:rsid w:val="009E521E"/>
    <w:rsid w:val="00A37034"/>
    <w:rsid w:val="00A509BF"/>
    <w:rsid w:val="00A6355D"/>
    <w:rsid w:val="00A63B86"/>
    <w:rsid w:val="00A660E8"/>
    <w:rsid w:val="00A72288"/>
    <w:rsid w:val="00A94E7B"/>
    <w:rsid w:val="00AA5461"/>
    <w:rsid w:val="00AB5BAA"/>
    <w:rsid w:val="00AF51F7"/>
    <w:rsid w:val="00B2307C"/>
    <w:rsid w:val="00B402FE"/>
    <w:rsid w:val="00B85D87"/>
    <w:rsid w:val="00B8621C"/>
    <w:rsid w:val="00B93F85"/>
    <w:rsid w:val="00BA151D"/>
    <w:rsid w:val="00BA303E"/>
    <w:rsid w:val="00BC206A"/>
    <w:rsid w:val="00BE4605"/>
    <w:rsid w:val="00BF6102"/>
    <w:rsid w:val="00C07814"/>
    <w:rsid w:val="00C13769"/>
    <w:rsid w:val="00C25374"/>
    <w:rsid w:val="00C2575E"/>
    <w:rsid w:val="00C46CD2"/>
    <w:rsid w:val="00C51566"/>
    <w:rsid w:val="00C55880"/>
    <w:rsid w:val="00C57714"/>
    <w:rsid w:val="00C7233E"/>
    <w:rsid w:val="00C75BF6"/>
    <w:rsid w:val="00C87B55"/>
    <w:rsid w:val="00CC3453"/>
    <w:rsid w:val="00CF0E5C"/>
    <w:rsid w:val="00D13867"/>
    <w:rsid w:val="00D22CCF"/>
    <w:rsid w:val="00D34FC2"/>
    <w:rsid w:val="00D425D5"/>
    <w:rsid w:val="00D52EE2"/>
    <w:rsid w:val="00D66DD5"/>
    <w:rsid w:val="00D762BF"/>
    <w:rsid w:val="00D94D1D"/>
    <w:rsid w:val="00D96E4A"/>
    <w:rsid w:val="00DB197C"/>
    <w:rsid w:val="00DB7D73"/>
    <w:rsid w:val="00DE7CFF"/>
    <w:rsid w:val="00DF6F42"/>
    <w:rsid w:val="00E036B9"/>
    <w:rsid w:val="00E14B0D"/>
    <w:rsid w:val="00E23304"/>
    <w:rsid w:val="00E7496B"/>
    <w:rsid w:val="00E86939"/>
    <w:rsid w:val="00E9158E"/>
    <w:rsid w:val="00E94393"/>
    <w:rsid w:val="00EA58AF"/>
    <w:rsid w:val="00ED10FF"/>
    <w:rsid w:val="00F07AD4"/>
    <w:rsid w:val="00F1197E"/>
    <w:rsid w:val="00F475D1"/>
    <w:rsid w:val="00F5287E"/>
    <w:rsid w:val="00F70C8F"/>
    <w:rsid w:val="00FB3EB5"/>
    <w:rsid w:val="00FE39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2D195DB"/>
  <w15:docId w15:val="{6CF7C75F-63C4-456E-88DB-A5D9717DE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35172"/>
  </w:style>
  <w:style w:type="paragraph" w:styleId="Nadpis1">
    <w:name w:val="heading 1"/>
    <w:basedOn w:val="Normln"/>
    <w:next w:val="Normln"/>
    <w:link w:val="Nadpis1Char"/>
    <w:qFormat/>
    <w:rsid w:val="008C58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semiHidden/>
    <w:unhideWhenUsed/>
    <w:qFormat/>
    <w:rsid w:val="008C5832"/>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cs-CZ"/>
    </w:rPr>
  </w:style>
  <w:style w:type="paragraph" w:styleId="Nadpis3">
    <w:name w:val="heading 3"/>
    <w:basedOn w:val="Normln"/>
    <w:next w:val="Normln"/>
    <w:link w:val="Nadpis3Char"/>
    <w:uiPriority w:val="9"/>
    <w:semiHidden/>
    <w:unhideWhenUsed/>
    <w:qFormat/>
    <w:rsid w:val="00335172"/>
    <w:pPr>
      <w:keepNext/>
      <w:spacing w:before="240" w:after="60" w:line="240" w:lineRule="auto"/>
      <w:outlineLvl w:val="2"/>
    </w:pPr>
    <w:rPr>
      <w:rFonts w:ascii="Cambria" w:eastAsia="Times New Roman" w:hAnsi="Cambria" w:cs="Times New Roman"/>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semiHidden/>
    <w:rsid w:val="00335172"/>
    <w:rPr>
      <w:rFonts w:ascii="Cambria" w:eastAsia="Times New Roman" w:hAnsi="Cambria" w:cs="Times New Roman"/>
      <w:b/>
      <w:bCs/>
      <w:sz w:val="26"/>
      <w:szCs w:val="26"/>
      <w:lang w:eastAsia="cs-CZ"/>
    </w:rPr>
  </w:style>
  <w:style w:type="character" w:styleId="Hypertextovodkaz">
    <w:name w:val="Hyperlink"/>
    <w:uiPriority w:val="99"/>
    <w:unhideWhenUsed/>
    <w:rsid w:val="00335172"/>
    <w:rPr>
      <w:color w:val="0000FF"/>
      <w:u w:val="single"/>
    </w:rPr>
  </w:style>
  <w:style w:type="paragraph" w:styleId="Normlnweb">
    <w:name w:val="Normal (Web)"/>
    <w:basedOn w:val="Normln"/>
    <w:uiPriority w:val="99"/>
    <w:unhideWhenUsed/>
    <w:rsid w:val="00335172"/>
    <w:pPr>
      <w:spacing w:before="100" w:beforeAutospacing="1" w:after="100" w:afterAutospacing="1" w:line="240" w:lineRule="auto"/>
    </w:pPr>
    <w:rPr>
      <w:rFonts w:ascii="Times New Roman" w:hAnsi="Times New Roman" w:cs="Times New Roman"/>
      <w:sz w:val="24"/>
      <w:szCs w:val="24"/>
      <w:lang w:eastAsia="cs-CZ"/>
    </w:rPr>
  </w:style>
  <w:style w:type="paragraph" w:customStyle="1" w:styleId="Standard">
    <w:name w:val="Standard"/>
    <w:uiPriority w:val="99"/>
    <w:semiHidden/>
    <w:rsid w:val="00335172"/>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styleId="Siln">
    <w:name w:val="Strong"/>
    <w:basedOn w:val="Standardnpsmoodstavce"/>
    <w:uiPriority w:val="22"/>
    <w:qFormat/>
    <w:rsid w:val="00335172"/>
    <w:rPr>
      <w:b/>
      <w:bCs/>
    </w:rPr>
  </w:style>
  <w:style w:type="paragraph" w:styleId="Zkladntext2">
    <w:name w:val="Body Text 2"/>
    <w:basedOn w:val="Normln"/>
    <w:link w:val="Zkladntext2Char"/>
    <w:rsid w:val="00830D7F"/>
    <w:pPr>
      <w:spacing w:after="0" w:line="240" w:lineRule="auto"/>
      <w:jc w:val="both"/>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830D7F"/>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8C5832"/>
    <w:rPr>
      <w:rFonts w:asciiTheme="majorHAnsi" w:eastAsiaTheme="majorEastAsia" w:hAnsiTheme="majorHAnsi" w:cstheme="majorBidi"/>
      <w:b/>
      <w:bCs/>
      <w:color w:val="365F91" w:themeColor="accent1" w:themeShade="BF"/>
      <w:sz w:val="28"/>
      <w:szCs w:val="28"/>
    </w:rPr>
  </w:style>
  <w:style w:type="paragraph" w:styleId="Zkladntext">
    <w:name w:val="Body Text"/>
    <w:basedOn w:val="Normln"/>
    <w:link w:val="ZkladntextChar"/>
    <w:uiPriority w:val="99"/>
    <w:unhideWhenUsed/>
    <w:rsid w:val="008C5832"/>
    <w:pPr>
      <w:spacing w:after="120"/>
    </w:pPr>
  </w:style>
  <w:style w:type="character" w:customStyle="1" w:styleId="ZkladntextChar">
    <w:name w:val="Základní text Char"/>
    <w:basedOn w:val="Standardnpsmoodstavce"/>
    <w:link w:val="Zkladntext"/>
    <w:uiPriority w:val="99"/>
    <w:rsid w:val="008C5832"/>
  </w:style>
  <w:style w:type="character" w:customStyle="1" w:styleId="Nadpis2Char">
    <w:name w:val="Nadpis 2 Char"/>
    <w:basedOn w:val="Standardnpsmoodstavce"/>
    <w:link w:val="Nadpis2"/>
    <w:semiHidden/>
    <w:rsid w:val="008C5832"/>
    <w:rPr>
      <w:rFonts w:asciiTheme="majorHAnsi" w:eastAsiaTheme="majorEastAsia" w:hAnsiTheme="majorHAnsi" w:cstheme="majorBidi"/>
      <w:b/>
      <w:bCs/>
      <w:color w:val="4F81BD" w:themeColor="accent1"/>
      <w:sz w:val="26"/>
      <w:szCs w:val="26"/>
      <w:lang w:eastAsia="cs-CZ"/>
    </w:rPr>
  </w:style>
  <w:style w:type="paragraph" w:styleId="Odstavecseseznamem">
    <w:name w:val="List Paragraph"/>
    <w:basedOn w:val="Normln"/>
    <w:uiPriority w:val="34"/>
    <w:qFormat/>
    <w:rsid w:val="008C5832"/>
    <w:pPr>
      <w:spacing w:after="0" w:line="240" w:lineRule="auto"/>
      <w:ind w:left="720"/>
      <w:contextualSpacing/>
    </w:pPr>
    <w:rPr>
      <w:rFonts w:ascii="Times New Roman" w:eastAsia="Times New Roman" w:hAnsi="Times New Roman" w:cs="Times New Roman"/>
      <w:sz w:val="24"/>
      <w:szCs w:val="24"/>
      <w:lang w:eastAsia="cs-CZ"/>
    </w:rPr>
  </w:style>
  <w:style w:type="paragraph" w:styleId="Nzev">
    <w:name w:val="Title"/>
    <w:basedOn w:val="Normln"/>
    <w:link w:val="NzevChar"/>
    <w:qFormat/>
    <w:rsid w:val="008C5832"/>
    <w:pPr>
      <w:widowControl w:val="0"/>
      <w:overflowPunct w:val="0"/>
      <w:autoSpaceDE w:val="0"/>
      <w:autoSpaceDN w:val="0"/>
      <w:adjustRightInd w:val="0"/>
      <w:spacing w:before="120" w:after="0" w:line="240" w:lineRule="auto"/>
      <w:ind w:left="1416" w:hanging="1274"/>
      <w:jc w:val="center"/>
      <w:textAlignment w:val="baseline"/>
    </w:pPr>
    <w:rPr>
      <w:rFonts w:ascii="Times New Roman" w:eastAsia="Times New Roman" w:hAnsi="Times New Roman" w:cs="Times New Roman"/>
      <w:b/>
      <w:sz w:val="32"/>
      <w:szCs w:val="20"/>
      <w:lang w:eastAsia="cs-CZ"/>
    </w:rPr>
  </w:style>
  <w:style w:type="character" w:customStyle="1" w:styleId="NzevChar">
    <w:name w:val="Název Char"/>
    <w:basedOn w:val="Standardnpsmoodstavce"/>
    <w:link w:val="Nzev"/>
    <w:rsid w:val="008C5832"/>
    <w:rPr>
      <w:rFonts w:ascii="Times New Roman" w:eastAsia="Times New Roman" w:hAnsi="Times New Roman" w:cs="Times New Roman"/>
      <w:b/>
      <w:sz w:val="32"/>
      <w:szCs w:val="20"/>
      <w:lang w:eastAsia="cs-CZ"/>
    </w:rPr>
  </w:style>
  <w:style w:type="paragraph" w:customStyle="1" w:styleId="Default">
    <w:name w:val="Default"/>
    <w:rsid w:val="008C5832"/>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slalnk">
    <w:name w:val="Čísla článků"/>
    <w:basedOn w:val="Normln"/>
    <w:rsid w:val="008C5832"/>
    <w:pPr>
      <w:keepNext/>
      <w:keepLines/>
      <w:spacing w:before="360" w:after="60" w:line="240" w:lineRule="auto"/>
      <w:jc w:val="center"/>
    </w:pPr>
    <w:rPr>
      <w:rFonts w:ascii="Times New Roman" w:eastAsia="Times New Roman" w:hAnsi="Times New Roman" w:cs="Times New Roman"/>
      <w:b/>
      <w:bCs/>
      <w:sz w:val="24"/>
      <w:szCs w:val="20"/>
      <w:lang w:eastAsia="cs-CZ"/>
    </w:rPr>
  </w:style>
  <w:style w:type="paragraph" w:customStyle="1" w:styleId="Nzvylnk">
    <w:name w:val="Názvy článků"/>
    <w:basedOn w:val="slalnk"/>
    <w:rsid w:val="008C5832"/>
    <w:pPr>
      <w:spacing w:before="60" w:after="160"/>
    </w:pPr>
  </w:style>
  <w:style w:type="paragraph" w:customStyle="1" w:styleId="nzevzkona">
    <w:name w:val="název zákona"/>
    <w:basedOn w:val="Nzev"/>
    <w:rsid w:val="008C5832"/>
    <w:pPr>
      <w:widowControl/>
      <w:overflowPunct/>
      <w:autoSpaceDE/>
      <w:autoSpaceDN/>
      <w:adjustRightInd/>
      <w:spacing w:before="240" w:after="60"/>
      <w:ind w:left="0" w:firstLine="0"/>
      <w:textAlignment w:val="auto"/>
      <w:outlineLvl w:val="0"/>
    </w:pPr>
    <w:rPr>
      <w:rFonts w:ascii="Cambria" w:hAnsi="Cambria" w:cs="Cambria"/>
      <w:bCs/>
      <w:kern w:val="28"/>
      <w:szCs w:val="32"/>
    </w:rPr>
  </w:style>
  <w:style w:type="character" w:customStyle="1" w:styleId="normln0">
    <w:name w:val="normln"/>
    <w:rsid w:val="008C5832"/>
    <w:rPr>
      <w:sz w:val="24"/>
      <w:szCs w:val="24"/>
    </w:rPr>
  </w:style>
  <w:style w:type="paragraph" w:customStyle="1" w:styleId="normln1">
    <w:name w:val="normln1"/>
    <w:basedOn w:val="Normln"/>
    <w:rsid w:val="008C5832"/>
    <w:pPr>
      <w:spacing w:after="20"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rsid w:val="008C5832"/>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8C5832"/>
    <w:rPr>
      <w:rFonts w:ascii="Times New Roman" w:eastAsia="Times New Roman" w:hAnsi="Times New Roman" w:cs="Times New Roman"/>
      <w:sz w:val="20"/>
      <w:szCs w:val="20"/>
      <w:lang w:eastAsia="cs-CZ"/>
    </w:rPr>
  </w:style>
  <w:style w:type="character" w:styleId="Znakapoznpodarou">
    <w:name w:val="footnote reference"/>
    <w:basedOn w:val="Standardnpsmoodstavce"/>
    <w:rsid w:val="008C5832"/>
    <w:rPr>
      <w:vertAlign w:val="superscript"/>
    </w:rPr>
  </w:style>
  <w:style w:type="paragraph" w:styleId="Zkladntextodsazen3">
    <w:name w:val="Body Text Indent 3"/>
    <w:basedOn w:val="Normln"/>
    <w:link w:val="Zkladntextodsazen3Char"/>
    <w:rsid w:val="008C5832"/>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rsid w:val="008C5832"/>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8C5832"/>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8C5832"/>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C5832"/>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rsid w:val="008C5832"/>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rsid w:val="008C5832"/>
    <w:pPr>
      <w:spacing w:after="120" w:line="480" w:lineRule="auto"/>
      <w:ind w:left="283"/>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rsid w:val="008C5832"/>
    <w:rPr>
      <w:rFonts w:ascii="Times New Roman" w:eastAsia="Times New Roman" w:hAnsi="Times New Roman" w:cs="Times New Roman"/>
      <w:sz w:val="24"/>
      <w:szCs w:val="24"/>
      <w:lang w:eastAsia="cs-CZ"/>
    </w:rPr>
  </w:style>
  <w:style w:type="paragraph" w:customStyle="1" w:styleId="BodyText1">
    <w:name w:val="Body Text1"/>
    <w:uiPriority w:val="99"/>
    <w:rsid w:val="006806B2"/>
    <w:pPr>
      <w:spacing w:after="0" w:line="240" w:lineRule="auto"/>
      <w:jc w:val="both"/>
    </w:pPr>
    <w:rPr>
      <w:rFonts w:ascii="Arial" w:eastAsia="Calibri" w:hAnsi="Arial" w:cs="Times New Roman"/>
      <w:color w:val="000000"/>
      <w:szCs w:val="48"/>
    </w:rPr>
  </w:style>
  <w:style w:type="character" w:customStyle="1" w:styleId="h1a2">
    <w:name w:val="h1a2"/>
    <w:basedOn w:val="Standardnpsmoodstavce"/>
    <w:rsid w:val="007B35A6"/>
    <w:rPr>
      <w:vanish/>
      <w:webHidden w:val="0"/>
      <w:specVanish w:val="0"/>
    </w:rPr>
  </w:style>
  <w:style w:type="paragraph" w:styleId="Textbubliny">
    <w:name w:val="Balloon Text"/>
    <w:basedOn w:val="Normln"/>
    <w:link w:val="TextbublinyChar"/>
    <w:uiPriority w:val="99"/>
    <w:semiHidden/>
    <w:unhideWhenUsed/>
    <w:rsid w:val="00B8621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8621C"/>
    <w:rPr>
      <w:rFonts w:ascii="Tahoma" w:hAnsi="Tahoma" w:cs="Tahoma"/>
      <w:sz w:val="16"/>
      <w:szCs w:val="16"/>
    </w:rPr>
  </w:style>
  <w:style w:type="paragraph" w:styleId="Podnadpis">
    <w:name w:val="Subtitle"/>
    <w:basedOn w:val="Normln"/>
    <w:next w:val="Normln"/>
    <w:link w:val="PodnadpisChar"/>
    <w:qFormat/>
    <w:rsid w:val="00B8621C"/>
    <w:pPr>
      <w:numPr>
        <w:ilvl w:val="1"/>
      </w:numPr>
      <w:spacing w:before="360" w:after="240" w:line="240" w:lineRule="auto"/>
      <w:jc w:val="both"/>
    </w:pPr>
    <w:rPr>
      <w:rFonts w:ascii="Verdana" w:eastAsiaTheme="majorEastAsia" w:hAnsi="Verdana" w:cstheme="majorBidi"/>
      <w:i/>
      <w:iCs/>
      <w:spacing w:val="15"/>
      <w:sz w:val="20"/>
      <w:szCs w:val="24"/>
      <w:u w:val="single"/>
      <w:lang w:eastAsia="cs-CZ"/>
    </w:rPr>
  </w:style>
  <w:style w:type="character" w:customStyle="1" w:styleId="PodnadpisChar">
    <w:name w:val="Podnadpis Char"/>
    <w:basedOn w:val="Standardnpsmoodstavce"/>
    <w:link w:val="Podnadpis"/>
    <w:rsid w:val="00B8621C"/>
    <w:rPr>
      <w:rFonts w:ascii="Verdana" w:eastAsiaTheme="majorEastAsia" w:hAnsi="Verdana" w:cstheme="majorBidi"/>
      <w:i/>
      <w:iCs/>
      <w:spacing w:val="15"/>
      <w:sz w:val="20"/>
      <w:szCs w:val="24"/>
      <w:u w:val="single"/>
      <w:lang w:eastAsia="cs-CZ"/>
    </w:rPr>
  </w:style>
  <w:style w:type="paragraph" w:styleId="Zhlav">
    <w:name w:val="header"/>
    <w:basedOn w:val="Normln"/>
    <w:link w:val="ZhlavChar"/>
    <w:uiPriority w:val="99"/>
    <w:rsid w:val="00B8621C"/>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rsid w:val="00B8621C"/>
    <w:rPr>
      <w:rFonts w:ascii="Times New Roman" w:eastAsia="Times New Roman" w:hAnsi="Times New Roman" w:cs="Times New Roman"/>
      <w:sz w:val="24"/>
      <w:szCs w:val="24"/>
      <w:lang w:eastAsia="cs-CZ"/>
    </w:rPr>
  </w:style>
  <w:style w:type="paragraph" w:styleId="Bezmezer">
    <w:name w:val="No Spacing"/>
    <w:uiPriority w:val="1"/>
    <w:qFormat/>
    <w:rsid w:val="00B8621C"/>
    <w:pPr>
      <w:spacing w:after="0" w:line="240" w:lineRule="auto"/>
    </w:pPr>
  </w:style>
  <w:style w:type="paragraph" w:styleId="Zpat">
    <w:name w:val="footer"/>
    <w:basedOn w:val="Normln"/>
    <w:link w:val="ZpatChar"/>
    <w:uiPriority w:val="99"/>
    <w:rsid w:val="007154F7"/>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7154F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3545">
      <w:bodyDiv w:val="1"/>
      <w:marLeft w:val="0"/>
      <w:marRight w:val="0"/>
      <w:marTop w:val="0"/>
      <w:marBottom w:val="0"/>
      <w:divBdr>
        <w:top w:val="none" w:sz="0" w:space="0" w:color="auto"/>
        <w:left w:val="none" w:sz="0" w:space="0" w:color="auto"/>
        <w:bottom w:val="none" w:sz="0" w:space="0" w:color="auto"/>
        <w:right w:val="none" w:sz="0" w:space="0" w:color="auto"/>
      </w:divBdr>
    </w:div>
    <w:div w:id="154612233">
      <w:bodyDiv w:val="1"/>
      <w:marLeft w:val="0"/>
      <w:marRight w:val="0"/>
      <w:marTop w:val="0"/>
      <w:marBottom w:val="0"/>
      <w:divBdr>
        <w:top w:val="none" w:sz="0" w:space="0" w:color="auto"/>
        <w:left w:val="none" w:sz="0" w:space="0" w:color="auto"/>
        <w:bottom w:val="none" w:sz="0" w:space="0" w:color="auto"/>
        <w:right w:val="none" w:sz="0" w:space="0" w:color="auto"/>
      </w:divBdr>
    </w:div>
    <w:div w:id="692920636">
      <w:bodyDiv w:val="1"/>
      <w:marLeft w:val="0"/>
      <w:marRight w:val="0"/>
      <w:marTop w:val="0"/>
      <w:marBottom w:val="0"/>
      <w:divBdr>
        <w:top w:val="none" w:sz="0" w:space="0" w:color="auto"/>
        <w:left w:val="none" w:sz="0" w:space="0" w:color="auto"/>
        <w:bottom w:val="none" w:sz="0" w:space="0" w:color="auto"/>
        <w:right w:val="none" w:sz="0" w:space="0" w:color="auto"/>
      </w:divBdr>
    </w:div>
    <w:div w:id="753817253">
      <w:bodyDiv w:val="1"/>
      <w:marLeft w:val="0"/>
      <w:marRight w:val="0"/>
      <w:marTop w:val="0"/>
      <w:marBottom w:val="0"/>
      <w:divBdr>
        <w:top w:val="none" w:sz="0" w:space="0" w:color="auto"/>
        <w:left w:val="none" w:sz="0" w:space="0" w:color="auto"/>
        <w:bottom w:val="none" w:sz="0" w:space="0" w:color="auto"/>
        <w:right w:val="none" w:sz="0" w:space="0" w:color="auto"/>
      </w:divBdr>
    </w:div>
    <w:div w:id="1306812650">
      <w:bodyDiv w:val="1"/>
      <w:marLeft w:val="0"/>
      <w:marRight w:val="0"/>
      <w:marTop w:val="0"/>
      <w:marBottom w:val="0"/>
      <w:divBdr>
        <w:top w:val="none" w:sz="0" w:space="0" w:color="auto"/>
        <w:left w:val="none" w:sz="0" w:space="0" w:color="auto"/>
        <w:bottom w:val="none" w:sz="0" w:space="0" w:color="auto"/>
        <w:right w:val="none" w:sz="0" w:space="0" w:color="auto"/>
      </w:divBdr>
    </w:div>
    <w:div w:id="1766609385">
      <w:bodyDiv w:val="1"/>
      <w:marLeft w:val="0"/>
      <w:marRight w:val="0"/>
      <w:marTop w:val="0"/>
      <w:marBottom w:val="0"/>
      <w:divBdr>
        <w:top w:val="none" w:sz="0" w:space="0" w:color="auto"/>
        <w:left w:val="none" w:sz="0" w:space="0" w:color="auto"/>
        <w:bottom w:val="none" w:sz="0" w:space="0" w:color="auto"/>
        <w:right w:val="none" w:sz="0" w:space="0" w:color="auto"/>
      </w:divBdr>
    </w:div>
    <w:div w:id="1778015368">
      <w:bodyDiv w:val="1"/>
      <w:marLeft w:val="0"/>
      <w:marRight w:val="0"/>
      <w:marTop w:val="0"/>
      <w:marBottom w:val="0"/>
      <w:divBdr>
        <w:top w:val="none" w:sz="0" w:space="0" w:color="auto"/>
        <w:left w:val="none" w:sz="0" w:space="0" w:color="auto"/>
        <w:bottom w:val="none" w:sz="0" w:space="0" w:color="auto"/>
        <w:right w:val="none" w:sz="0" w:space="0" w:color="auto"/>
      </w:divBdr>
    </w:div>
    <w:div w:id="1883637523">
      <w:bodyDiv w:val="1"/>
      <w:marLeft w:val="0"/>
      <w:marRight w:val="0"/>
      <w:marTop w:val="0"/>
      <w:marBottom w:val="0"/>
      <w:divBdr>
        <w:top w:val="none" w:sz="0" w:space="0" w:color="auto"/>
        <w:left w:val="none" w:sz="0" w:space="0" w:color="auto"/>
        <w:bottom w:val="none" w:sz="0" w:space="0" w:color="auto"/>
        <w:right w:val="none" w:sz="0" w:space="0" w:color="auto"/>
      </w:divBdr>
    </w:div>
    <w:div w:id="213354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or.eobec.eu/index.php?id=7" TargetMode="External"/><Relationship Id="rId3" Type="http://schemas.openxmlformats.org/officeDocument/2006/relationships/settings" Target="settings.xml"/><Relationship Id="rId7" Type="http://schemas.openxmlformats.org/officeDocument/2006/relationships/hyperlink" Target="http://mu.kutnahora.cz/mu/osadni-vybor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ulankova@mu.kutnahora.cz" TargetMode="External"/><Relationship Id="rId4" Type="http://schemas.openxmlformats.org/officeDocument/2006/relationships/webSettings" Target="webSettings.xml"/><Relationship Id="rId9" Type="http://schemas.openxmlformats.org/officeDocument/2006/relationships/hyperlink" Target="https://mu.kutnahora.cz/mu/vykazy-pro-hodnoceni-plneni-rozpoct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23</Pages>
  <Words>9520</Words>
  <Characters>56173</Characters>
  <Application>Microsoft Office Word</Application>
  <DocSecurity>0</DocSecurity>
  <Lines>468</Lines>
  <Paragraphs>131</Paragraphs>
  <ScaleCrop>false</ScaleCrop>
  <HeadingPairs>
    <vt:vector size="2" baseType="variant">
      <vt:variant>
        <vt:lpstr>Název</vt:lpstr>
      </vt:variant>
      <vt:variant>
        <vt:i4>1</vt:i4>
      </vt:variant>
    </vt:vector>
  </HeadingPairs>
  <TitlesOfParts>
    <vt:vector size="1" baseType="lpstr">
      <vt:lpstr/>
    </vt:vector>
  </TitlesOfParts>
  <Company>Městský úřad Kutná Hora</Company>
  <LinksUpToDate>false</LinksUpToDate>
  <CharactersWithSpaces>65562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MěÚ Kutná Hora</dc:creator>
  <cp:lastModifiedBy>Kloudová Adéla</cp:lastModifiedBy>
  <cp:revision>4</cp:revision>
  <cp:lastPrinted>2019-11-13T13:08:00Z</cp:lastPrinted>
  <dcterms:created xsi:type="dcterms:W3CDTF">2020-05-04T10:46:00Z</dcterms:created>
  <dcterms:modified xsi:type="dcterms:W3CDTF">2020-05-04T11:42:00Z</dcterms:modified>
</cp:coreProperties>
</file>