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62" w:rsidRPr="00794F62" w:rsidRDefault="00794F62" w:rsidP="00794F62">
      <w:pPr>
        <w:spacing w:after="300"/>
        <w:rPr>
          <w:rFonts w:asciiTheme="minorHAnsi" w:hAnsiTheme="minorHAnsi" w:cs="Arial"/>
          <w:b/>
          <w:bCs/>
          <w:color w:val="595959" w:themeColor="text1" w:themeTint="A6"/>
          <w:lang w:eastAsia="zh-CN"/>
        </w:rPr>
      </w:pPr>
      <w:bookmarkStart w:id="0" w:name="_GoBack"/>
      <w:bookmarkEnd w:id="0"/>
      <w:r w:rsidRPr="00794F62">
        <w:rPr>
          <w:rFonts w:asciiTheme="minorHAnsi" w:hAnsiTheme="minorHAnsi" w:cs="Arial"/>
          <w:b/>
          <w:bCs/>
          <w:color w:val="595959" w:themeColor="text1" w:themeTint="A6"/>
          <w:lang w:eastAsia="zh-CN"/>
        </w:rPr>
        <w:t>Bilance cestovního ruchu v Kutné Hoře za rok 2019</w:t>
      </w:r>
    </w:p>
    <w:p w:rsidR="00794F62" w:rsidRPr="005656CE" w:rsidRDefault="00794F62" w:rsidP="00794F62">
      <w:pPr>
        <w:spacing w:after="300"/>
        <w:rPr>
          <w:rFonts w:asciiTheme="minorHAnsi" w:hAnsiTheme="minorHAnsi" w:cs="Arial"/>
          <w:color w:val="595959" w:themeColor="text1" w:themeTint="A6"/>
          <w:sz w:val="22"/>
          <w:szCs w:val="22"/>
          <w:lang w:eastAsia="zh-CN"/>
        </w:rPr>
      </w:pPr>
      <w:r w:rsidRPr="005656CE">
        <w:rPr>
          <w:rFonts w:asciiTheme="minorHAnsi" w:hAnsiTheme="minorHAnsi" w:cs="Arial"/>
          <w:b/>
          <w:bCs/>
          <w:color w:val="595959" w:themeColor="text1" w:themeTint="A6"/>
          <w:sz w:val="22"/>
          <w:szCs w:val="22"/>
          <w:lang w:eastAsia="zh-CN"/>
        </w:rPr>
        <w:t xml:space="preserve">Spolu s nárůstem turistů po celém světě vzrůstá počet diskuzí na téma cestovního ruchu, které se přímo dotýkají také našeho města. Za rok 2019 vzrostla celková návštěvnost kutnohorských památek o 11 % čili téměř o 146 000 návštěvníků. </w:t>
      </w:r>
    </w:p>
    <w:p w:rsidR="00794F62" w:rsidRPr="005656CE" w:rsidRDefault="00794F62" w:rsidP="00794F62">
      <w:pPr>
        <w:spacing w:after="300"/>
        <w:rPr>
          <w:rFonts w:asciiTheme="minorHAnsi" w:hAnsiTheme="minorHAnsi" w:cs="Arial"/>
          <w:color w:val="595959" w:themeColor="text1" w:themeTint="A6"/>
          <w:sz w:val="22"/>
          <w:szCs w:val="22"/>
          <w:lang w:eastAsia="zh-CN"/>
        </w:rPr>
      </w:pPr>
      <w:r w:rsidRPr="005656CE">
        <w:rPr>
          <w:rFonts w:asciiTheme="minorHAnsi" w:hAnsiTheme="minorHAnsi" w:cs="Arial"/>
          <w:color w:val="595959" w:themeColor="text1" w:themeTint="A6"/>
          <w:sz w:val="22"/>
          <w:szCs w:val="22"/>
          <w:lang w:eastAsia="zh-CN"/>
        </w:rPr>
        <w:t>Finanční přínos do městské kasy nelze jednoznačně vyjádřit, protože se týká i objektů a turistických cílů, které nespadají pod správu města. V rámci ČR je cestovní ruch hodnocen pomocí satelitního účtu cestovního ruchu a v roce 2017 byl vyhodnocen jeho podíl 2,9 % na hrubém domácím produktu ČR. Do přínosů cestovního ruchu v Kutné Hoře, které je možné vyčíslit, spadají tržby informačního centra (IC) za prodané suvenýry. Tržby se od 2013 zdvojnásobily. Celkové příjmy IC města Kutné Hory činily loni 1 521 152 korun. Poplatky z ubytovací kapacity spolu s poplatkem lázeňským a rekreačním v roce 2019 přinesly 1 450 338 korun do městské kasy. Nově budou dle zákona č. 278/2019 Sb. nahrazeny poplatkem z pobytu ve výši 21 korun za den, což je součet dvou předchozích poplatků, tedy maximální možnou výši, kterou zákon umožňuje. Stejnou výši poplatku z pobytu lidé zaplatí ve většině turistických měst v ČR jako například v Českém Krumlově, Praze, Třeboni, Špindlerově Mlýně apod.</w:t>
      </w:r>
    </w:p>
    <w:p w:rsidR="00794F62" w:rsidRPr="005656CE" w:rsidRDefault="00794F62" w:rsidP="00794F62">
      <w:pPr>
        <w:spacing w:after="300"/>
        <w:rPr>
          <w:rFonts w:asciiTheme="minorHAnsi" w:hAnsiTheme="minorHAnsi" w:cs="Arial"/>
          <w:color w:val="595959" w:themeColor="text1" w:themeTint="A6"/>
          <w:sz w:val="22"/>
          <w:szCs w:val="22"/>
          <w:lang w:eastAsia="zh-CN"/>
        </w:rPr>
      </w:pPr>
      <w:r w:rsidRPr="005656CE">
        <w:rPr>
          <w:rFonts w:asciiTheme="minorHAnsi" w:hAnsiTheme="minorHAnsi" w:cs="Arial"/>
          <w:color w:val="595959" w:themeColor="text1" w:themeTint="A6"/>
          <w:sz w:val="22"/>
          <w:szCs w:val="22"/>
          <w:lang w:eastAsia="zh-CN"/>
        </w:rPr>
        <w:t>Kutná Hora se dlouhodobě potýká s problémem parkování turistických autobusů. K řešení situace by mohl dopomoci nový generel dopravy, který bude dokončen v březnu. Cílem je vytvořit takový systém, který umožní pohodlné parkování autobusů, ale také neomezí místní v pohybu po městě</w:t>
      </w:r>
      <w:r w:rsidRPr="005656CE">
        <w:rPr>
          <w:rFonts w:asciiTheme="minorHAnsi" w:hAnsiTheme="minorHAnsi" w:cs="Arial"/>
          <w:i/>
          <w:iCs/>
          <w:color w:val="595959" w:themeColor="text1" w:themeTint="A6"/>
          <w:sz w:val="22"/>
          <w:szCs w:val="22"/>
          <w:lang w:eastAsia="zh-CN"/>
        </w:rPr>
        <w:t xml:space="preserve">. </w:t>
      </w:r>
      <w:r w:rsidRPr="005656CE">
        <w:rPr>
          <w:rFonts w:asciiTheme="minorHAnsi" w:hAnsiTheme="minorHAnsi" w:cs="Arial"/>
          <w:color w:val="595959" w:themeColor="text1" w:themeTint="A6"/>
          <w:sz w:val="22"/>
          <w:szCs w:val="22"/>
          <w:lang w:eastAsia="zh-CN"/>
        </w:rPr>
        <w:t>V minulém roce činily příjmy z parkovacích automatů 1 891 242 korun, opět ovšem nelze rozlišit vlastnictví auta, tedy v jakém poměru se tato částka týká návštěvníků a rezidentů.</w:t>
      </w:r>
    </w:p>
    <w:p w:rsidR="00794F62" w:rsidRPr="005656CE" w:rsidRDefault="00794F62" w:rsidP="00794F62">
      <w:pPr>
        <w:spacing w:after="300"/>
        <w:rPr>
          <w:rFonts w:asciiTheme="minorHAnsi" w:hAnsiTheme="minorHAnsi" w:cs="Arial"/>
          <w:color w:val="595959" w:themeColor="text1" w:themeTint="A6"/>
          <w:sz w:val="22"/>
          <w:szCs w:val="22"/>
          <w:lang w:eastAsia="zh-CN"/>
        </w:rPr>
      </w:pPr>
      <w:r w:rsidRPr="005656CE">
        <w:rPr>
          <w:rFonts w:asciiTheme="minorHAnsi" w:hAnsiTheme="minorHAnsi" w:cs="Arial"/>
          <w:color w:val="595959" w:themeColor="text1" w:themeTint="A6"/>
          <w:sz w:val="22"/>
          <w:szCs w:val="22"/>
          <w:lang w:eastAsia="zh-CN"/>
        </w:rPr>
        <w:t xml:space="preserve">Co se týče rozpočtu města pro rok 2019, rozpočet oddělení cestovního ruchu a marketingu (dále jen OCRM) činil pouhé 1 % z celkového rozpočtu města. </w:t>
      </w:r>
      <w:hyperlink r:id="rId8" w:history="1">
        <w:r w:rsidRPr="005656CE">
          <w:rPr>
            <w:rFonts w:asciiTheme="minorHAnsi" w:hAnsiTheme="minorHAnsi" w:cs="Arial"/>
            <w:color w:val="595959" w:themeColor="text1" w:themeTint="A6"/>
            <w:sz w:val="22"/>
            <w:szCs w:val="22"/>
            <w:lang w:eastAsia="zh-CN"/>
          </w:rPr>
          <w:t>OCRM</w:t>
        </w:r>
      </w:hyperlink>
      <w:r w:rsidRPr="005656CE">
        <w:rPr>
          <w:rFonts w:asciiTheme="minorHAnsi" w:hAnsiTheme="minorHAnsi" w:cs="Arial"/>
          <w:color w:val="595959" w:themeColor="text1" w:themeTint="A6"/>
          <w:sz w:val="22"/>
          <w:szCs w:val="22"/>
          <w:lang w:eastAsia="zh-CN"/>
        </w:rPr>
        <w:t xml:space="preserve"> má na starost mimo jiné provoz IC na Palackého náměstí a na hlavním vlakovém nádraží. Toto oddělení také úzce spolupracuje a metodicky řídí příspěvkovou organizaci města Průvodcovskou službu Kutná Hora. A v neposlední řadě zajišťuje propagaci města. V roce 2019 byla Kutná Hora prezentována na šesti veletrzích v ČR, navštívilo ji víc než 367 novinářů a zástupců cestovních kanceláří a byla pro ně připravena bohatá poznávací cesta. Tyto návštěvy vyplývají ze spolupráce se Středočeskou centrálou cestovního ruchu a agenturou </w:t>
      </w:r>
      <w:proofErr w:type="spellStart"/>
      <w:r w:rsidRPr="005656CE">
        <w:rPr>
          <w:rFonts w:asciiTheme="minorHAnsi" w:hAnsiTheme="minorHAnsi" w:cs="Arial"/>
          <w:color w:val="595959" w:themeColor="text1" w:themeTint="A6"/>
          <w:sz w:val="22"/>
          <w:szCs w:val="22"/>
          <w:lang w:eastAsia="zh-CN"/>
        </w:rPr>
        <w:t>Czechtourism</w:t>
      </w:r>
      <w:proofErr w:type="spellEnd"/>
      <w:r w:rsidRPr="005656CE">
        <w:rPr>
          <w:rFonts w:asciiTheme="minorHAnsi" w:hAnsiTheme="minorHAnsi" w:cs="Arial"/>
          <w:color w:val="595959" w:themeColor="text1" w:themeTint="A6"/>
          <w:sz w:val="22"/>
          <w:szCs w:val="22"/>
          <w:lang w:eastAsia="zh-CN"/>
        </w:rPr>
        <w:t>.</w:t>
      </w:r>
    </w:p>
    <w:p w:rsidR="00794F62" w:rsidRPr="005656CE" w:rsidRDefault="00794F62" w:rsidP="00794F62">
      <w:pPr>
        <w:spacing w:after="300"/>
        <w:rPr>
          <w:rFonts w:asciiTheme="minorHAnsi" w:hAnsiTheme="minorHAnsi" w:cs="Arial"/>
          <w:color w:val="595959" w:themeColor="text1" w:themeTint="A6"/>
          <w:sz w:val="22"/>
          <w:szCs w:val="22"/>
          <w:lang w:eastAsia="zh-CN"/>
        </w:rPr>
      </w:pPr>
      <w:r w:rsidRPr="005656CE">
        <w:rPr>
          <w:rFonts w:asciiTheme="minorHAnsi" w:hAnsiTheme="minorHAnsi" w:cs="Arial"/>
          <w:color w:val="595959" w:themeColor="text1" w:themeTint="A6"/>
          <w:sz w:val="22"/>
          <w:szCs w:val="22"/>
          <w:lang w:eastAsia="zh-CN"/>
        </w:rPr>
        <w:t xml:space="preserve">Propagace města je směřována hlavně k českým turistům. Cílíme tedy na rodiny s dětmi, seniory, sportovce a milovníky kultury a historie. Kutnou Horu vždy prezentujeme jako balíček služeb a atraktivních cílů, které se nevejdou do jednoho dne. Velkou část propagace také zprostředkovávají kutnohorské farnosti, které mají ve své správě dvě nejnavštěvovanější památky. V roce 2019 vznikla navíc </w:t>
      </w:r>
      <w:hyperlink r:id="rId9" w:history="1">
        <w:r w:rsidRPr="005656CE">
          <w:rPr>
            <w:rFonts w:asciiTheme="minorHAnsi" w:hAnsiTheme="minorHAnsi" w:cs="Arial"/>
            <w:color w:val="595959" w:themeColor="text1" w:themeTint="A6"/>
            <w:sz w:val="22"/>
            <w:szCs w:val="22"/>
            <w:lang w:eastAsia="zh-CN"/>
          </w:rPr>
          <w:t>Turistická oblast Kutnohorsko a Kolínsko,</w:t>
        </w:r>
      </w:hyperlink>
      <w:r w:rsidRPr="005656CE">
        <w:rPr>
          <w:rFonts w:asciiTheme="minorHAnsi" w:hAnsiTheme="minorHAnsi" w:cs="Arial"/>
          <w:color w:val="595959" w:themeColor="text1" w:themeTint="A6"/>
          <w:sz w:val="22"/>
          <w:szCs w:val="22"/>
          <w:lang w:eastAsia="zh-CN"/>
        </w:rPr>
        <w:t xml:space="preserve"> která bude propagovat celou oblast a nabídne návštěvníkům turistické atraktivity a balíčky, pro které se vyplatí v oblasti zůstat déle. Na OCRM aktivně sledujeme trendy v cestovním ruchu a marketingu a snažíme se jim přizpůsobovat. V oblasti cestovního ruchu momentálně roste individuální turistika, což je pro Kutnou Horu dobré znamení.</w:t>
      </w:r>
    </w:p>
    <w:p w:rsidR="00794F62" w:rsidRPr="005656CE" w:rsidRDefault="00794F62" w:rsidP="00794F62">
      <w:pPr>
        <w:spacing w:after="300"/>
        <w:rPr>
          <w:rFonts w:asciiTheme="minorHAnsi" w:hAnsiTheme="minorHAnsi" w:cs="Arial"/>
          <w:color w:val="595959" w:themeColor="text1" w:themeTint="A6"/>
          <w:sz w:val="22"/>
          <w:szCs w:val="22"/>
          <w:lang w:eastAsia="zh-CN"/>
        </w:rPr>
      </w:pPr>
      <w:r w:rsidRPr="005656CE">
        <w:rPr>
          <w:rFonts w:asciiTheme="minorHAnsi" w:hAnsiTheme="minorHAnsi" w:cs="Arial"/>
          <w:i/>
          <w:iCs/>
          <w:color w:val="595959" w:themeColor="text1" w:themeTint="A6"/>
          <w:sz w:val="22"/>
          <w:szCs w:val="22"/>
          <w:lang w:eastAsia="zh-CN"/>
        </w:rPr>
        <w:t xml:space="preserve">„Věřím tomu, že cestovní ruch se může pro Kutnou Horu stát významným zdrojem financí, ale zároveň je důležité vždy myslet v této souvislosti také na občany našeho města. Vše, co má sloužit turistům, by mělo být využitelné i pro místní, a ne je omezovat,“ </w:t>
      </w:r>
      <w:r w:rsidRPr="005656CE">
        <w:rPr>
          <w:rFonts w:asciiTheme="minorHAnsi" w:hAnsiTheme="minorHAnsi" w:cs="Arial"/>
          <w:color w:val="595959" w:themeColor="text1" w:themeTint="A6"/>
          <w:sz w:val="22"/>
          <w:szCs w:val="22"/>
          <w:lang w:eastAsia="zh-CN"/>
        </w:rPr>
        <w:t xml:space="preserve">doplňuje místostarostka Silvia Doušová, která má cestovní ruch na starosti. </w:t>
      </w:r>
      <w:hyperlink r:id="rId10" w:history="1">
        <w:r w:rsidRPr="005656CE">
          <w:rPr>
            <w:rFonts w:asciiTheme="minorHAnsi" w:hAnsiTheme="minorHAnsi" w:cs="Arial"/>
            <w:color w:val="595959" w:themeColor="text1" w:themeTint="A6"/>
            <w:sz w:val="22"/>
            <w:szCs w:val="22"/>
            <w:lang w:eastAsia="zh-CN"/>
          </w:rPr>
          <w:t>Průvodcovská služba Kutná Hora, p. o.</w:t>
        </w:r>
      </w:hyperlink>
      <w:r w:rsidRPr="005656CE">
        <w:rPr>
          <w:rFonts w:asciiTheme="minorHAnsi" w:hAnsiTheme="minorHAnsi" w:cs="Arial"/>
          <w:color w:val="595959" w:themeColor="text1" w:themeTint="A6"/>
          <w:sz w:val="22"/>
          <w:szCs w:val="22"/>
          <w:lang w:eastAsia="zh-CN"/>
        </w:rPr>
        <w:t xml:space="preserve"> (dále jen PSKH), v tuto chvíli nabízí 10 okruhů městem, jichž v roce 2019 využilo téměř 9 000 návštěvníků. Minulý rok byly zavedeny nové prohlídky s názvem „</w:t>
      </w:r>
      <w:proofErr w:type="spellStart"/>
      <w:r w:rsidRPr="005656CE">
        <w:rPr>
          <w:rFonts w:asciiTheme="minorHAnsi" w:hAnsiTheme="minorHAnsi" w:cs="Arial"/>
          <w:color w:val="595959" w:themeColor="text1" w:themeTint="A6"/>
          <w:sz w:val="22"/>
          <w:szCs w:val="22"/>
          <w:lang w:eastAsia="zh-CN"/>
        </w:rPr>
        <w:t>Historkovné</w:t>
      </w:r>
      <w:proofErr w:type="spellEnd"/>
      <w:r w:rsidRPr="005656CE">
        <w:rPr>
          <w:rFonts w:asciiTheme="minorHAnsi" w:hAnsiTheme="minorHAnsi" w:cs="Arial"/>
          <w:color w:val="595959" w:themeColor="text1" w:themeTint="A6"/>
          <w:sz w:val="22"/>
          <w:szCs w:val="22"/>
          <w:lang w:eastAsia="zh-CN"/>
        </w:rPr>
        <w:t xml:space="preserve">“ a „Parkovné“, které odkrývají nejzajímavější historky města a historii parků v Kutné Hoře. Právě tyto prohlídky jsou zaměřeny nejen na turisty, ale také na místní obyvatele. Průvodcovská služba se rovněž orientuje na rozšíření kulturního vyžití v Kutné Hoře v podobě pořádání speciálních prohlídek a akcí, například kreativních tvořivých dílen, tematických koncertů, Vítání jara a programů pro </w:t>
      </w:r>
      <w:r w:rsidRPr="005656CE">
        <w:rPr>
          <w:rFonts w:asciiTheme="minorHAnsi" w:hAnsiTheme="minorHAnsi" w:cs="Arial"/>
          <w:color w:val="595959" w:themeColor="text1" w:themeTint="A6"/>
          <w:sz w:val="22"/>
          <w:szCs w:val="22"/>
          <w:lang w:eastAsia="zh-CN"/>
        </w:rPr>
        <w:lastRenderedPageBreak/>
        <w:t>místní základní a mateřské školy. „</w:t>
      </w:r>
      <w:r w:rsidRPr="005656CE">
        <w:rPr>
          <w:rFonts w:asciiTheme="minorHAnsi" w:hAnsiTheme="minorHAnsi" w:cs="Arial"/>
          <w:i/>
          <w:iCs/>
          <w:color w:val="595959" w:themeColor="text1" w:themeTint="A6"/>
          <w:sz w:val="22"/>
          <w:szCs w:val="22"/>
          <w:lang w:eastAsia="zh-CN"/>
        </w:rPr>
        <w:t>Fungování Průvodcovské služby probíhá s podporou paní místostarostky, která se zapojuje do akcí pořádaných PSKH a vede s ní debaty ohledně cestovního ruchu, plánování a možného růstu Průvodcovské služby do budoucna“</w:t>
      </w:r>
      <w:r w:rsidRPr="005656CE">
        <w:rPr>
          <w:rFonts w:asciiTheme="minorHAnsi" w:hAnsiTheme="minorHAnsi" w:cs="Arial"/>
          <w:color w:val="595959" w:themeColor="text1" w:themeTint="A6"/>
          <w:sz w:val="22"/>
          <w:szCs w:val="22"/>
          <w:lang w:eastAsia="zh-CN"/>
        </w:rPr>
        <w:t xml:space="preserve"> uvádí ředitelka Průvodcovské služby Andrea Kapounková a dodává: „</w:t>
      </w:r>
      <w:r w:rsidRPr="005656CE">
        <w:rPr>
          <w:rFonts w:asciiTheme="minorHAnsi" w:hAnsiTheme="minorHAnsi" w:cs="Arial"/>
          <w:i/>
          <w:iCs/>
          <w:color w:val="595959" w:themeColor="text1" w:themeTint="A6"/>
          <w:sz w:val="22"/>
          <w:szCs w:val="22"/>
          <w:lang w:eastAsia="zh-CN"/>
        </w:rPr>
        <w:t xml:space="preserve">Tak jako minulý rok i v roce 2020 budeme pokračovat ve spolupráci s kutnohorskými farnostmi, hotely a dalšími objekty. V roce 2019 jsme také nově navázali spolupráci s Měšťanským pivovarem a Muzeem knihtisku, kterou budeme nadále rozvíjet.“ </w:t>
      </w:r>
    </w:p>
    <w:p w:rsidR="00794F62" w:rsidRPr="005656CE" w:rsidRDefault="00794F62" w:rsidP="00794F62">
      <w:pPr>
        <w:spacing w:after="300"/>
        <w:rPr>
          <w:rFonts w:asciiTheme="minorHAnsi" w:hAnsiTheme="minorHAnsi" w:cs="Arial"/>
          <w:color w:val="595959" w:themeColor="text1" w:themeTint="A6"/>
          <w:sz w:val="22"/>
          <w:szCs w:val="22"/>
          <w:lang w:eastAsia="zh-CN"/>
        </w:rPr>
      </w:pPr>
      <w:r w:rsidRPr="005656CE">
        <w:rPr>
          <w:rFonts w:asciiTheme="minorHAnsi" w:hAnsiTheme="minorHAnsi" w:cs="Arial"/>
          <w:i/>
          <w:iCs/>
          <w:color w:val="595959" w:themeColor="text1" w:themeTint="A6"/>
          <w:sz w:val="22"/>
          <w:szCs w:val="22"/>
          <w:lang w:eastAsia="zh-CN"/>
        </w:rPr>
        <w:t xml:space="preserve">„Cestovní ruch je potřeba plánovat dopředu, a myslet na jeho udržitelnost. Kutná Hora je stále město, kde lidé chtějí bydlet, probíhá zde spousta kulturních událostí, a bylo by škoda ho orientovat pouze na cestovní ruch. Naopak je potřeba nalákat místní obyvatele, aby se zvýšil pohyb v centru města,“ </w:t>
      </w:r>
      <w:r w:rsidRPr="005656CE">
        <w:rPr>
          <w:rFonts w:asciiTheme="minorHAnsi" w:hAnsiTheme="minorHAnsi" w:cs="Arial"/>
          <w:color w:val="595959" w:themeColor="text1" w:themeTint="A6"/>
          <w:sz w:val="22"/>
          <w:szCs w:val="22"/>
          <w:lang w:eastAsia="zh-CN"/>
        </w:rPr>
        <w:t>dodala Silvia Doušová</w:t>
      </w:r>
      <w:r w:rsidRPr="005656CE">
        <w:rPr>
          <w:rFonts w:asciiTheme="minorHAnsi" w:hAnsiTheme="minorHAnsi" w:cs="Arial"/>
          <w:i/>
          <w:iCs/>
          <w:color w:val="595959" w:themeColor="text1" w:themeTint="A6"/>
          <w:sz w:val="22"/>
          <w:szCs w:val="22"/>
          <w:lang w:eastAsia="zh-CN"/>
        </w:rPr>
        <w:t xml:space="preserve">. </w:t>
      </w:r>
      <w:r w:rsidRPr="005656CE">
        <w:rPr>
          <w:rFonts w:asciiTheme="minorHAnsi" w:hAnsiTheme="minorHAnsi" w:cs="Arial"/>
          <w:color w:val="595959" w:themeColor="text1" w:themeTint="A6"/>
          <w:sz w:val="22"/>
          <w:szCs w:val="22"/>
          <w:lang w:eastAsia="zh-CN"/>
        </w:rPr>
        <w:t xml:space="preserve">OCRM každý rok připravuje </w:t>
      </w:r>
      <w:hyperlink r:id="rId11" w:history="1">
        <w:r w:rsidRPr="005656CE">
          <w:rPr>
            <w:rFonts w:asciiTheme="minorHAnsi" w:hAnsiTheme="minorHAnsi" w:cs="Arial"/>
            <w:color w:val="595959" w:themeColor="text1" w:themeTint="A6"/>
            <w:sz w:val="22"/>
            <w:szCs w:val="22"/>
            <w:lang w:eastAsia="zh-CN"/>
          </w:rPr>
          <w:t>kulturní kalendář,</w:t>
        </w:r>
      </w:hyperlink>
      <w:r w:rsidRPr="005656CE">
        <w:rPr>
          <w:rFonts w:asciiTheme="minorHAnsi" w:hAnsiTheme="minorHAnsi" w:cs="Arial"/>
          <w:color w:val="595959" w:themeColor="text1" w:themeTint="A6"/>
          <w:sz w:val="22"/>
          <w:szCs w:val="22"/>
          <w:lang w:eastAsia="zh-CN"/>
        </w:rPr>
        <w:t xml:space="preserve"> který je dostupný v tištěné formě v informačních centrech, pravidelně v Kutnohorských listech, online na webu města a v roce 2019 jsme začali zveřejňovat víkendové akce na </w:t>
      </w:r>
      <w:hyperlink r:id="rId12" w:history="1">
        <w:proofErr w:type="spellStart"/>
        <w:r w:rsidRPr="005656CE">
          <w:rPr>
            <w:rFonts w:asciiTheme="minorHAnsi" w:hAnsiTheme="minorHAnsi" w:cs="Arial"/>
            <w:color w:val="595959" w:themeColor="text1" w:themeTint="A6"/>
            <w:sz w:val="22"/>
            <w:szCs w:val="22"/>
            <w:lang w:eastAsia="zh-CN"/>
          </w:rPr>
          <w:t>Facebooku</w:t>
        </w:r>
        <w:proofErr w:type="spellEnd"/>
        <w:r w:rsidRPr="005656CE">
          <w:rPr>
            <w:rFonts w:asciiTheme="minorHAnsi" w:hAnsiTheme="minorHAnsi" w:cs="Arial"/>
            <w:color w:val="595959" w:themeColor="text1" w:themeTint="A6"/>
            <w:sz w:val="22"/>
            <w:szCs w:val="22"/>
            <w:lang w:eastAsia="zh-CN"/>
          </w:rPr>
          <w:t xml:space="preserve"> Kutná Hora</w:t>
        </w:r>
      </w:hyperlink>
      <w:r w:rsidRPr="005656CE">
        <w:rPr>
          <w:rFonts w:asciiTheme="minorHAnsi" w:hAnsiTheme="minorHAnsi" w:cs="Arial"/>
          <w:color w:val="595959" w:themeColor="text1" w:themeTint="A6"/>
          <w:sz w:val="22"/>
          <w:szCs w:val="22"/>
          <w:lang w:eastAsia="zh-CN"/>
        </w:rPr>
        <w:t>, na nějž ve spolupráci s oddělením kultury přidáváme i události, které město pořádá.</w:t>
      </w:r>
    </w:p>
    <w:p w:rsidR="00794F62" w:rsidRDefault="00794F62" w:rsidP="00794F62">
      <w:pPr>
        <w:spacing w:after="300"/>
        <w:rPr>
          <w:rFonts w:asciiTheme="minorHAnsi" w:hAnsiTheme="minorHAnsi" w:cs="Arial"/>
          <w:color w:val="595959" w:themeColor="text1" w:themeTint="A6"/>
          <w:sz w:val="22"/>
          <w:szCs w:val="22"/>
          <w:lang w:eastAsia="zh-CN"/>
        </w:rPr>
      </w:pPr>
      <w:r w:rsidRPr="00794F62">
        <w:rPr>
          <w:rFonts w:asciiTheme="minorHAnsi" w:hAnsiTheme="minorHAnsi" w:cs="Arial"/>
          <w:color w:val="595959" w:themeColor="text1" w:themeTint="A6"/>
          <w:sz w:val="22"/>
          <w:szCs w:val="22"/>
          <w:lang w:eastAsia="zh-CN"/>
        </w:rPr>
        <w:t>V Kutné Hoře 4. 2. 2020</w:t>
      </w:r>
    </w:p>
    <w:p w:rsidR="00794F62" w:rsidRPr="005656CE" w:rsidRDefault="00794F62" w:rsidP="00794F62">
      <w:pPr>
        <w:spacing w:after="300"/>
        <w:rPr>
          <w:rFonts w:asciiTheme="minorHAnsi" w:hAnsiTheme="minorHAnsi" w:cs="Arial"/>
          <w:color w:val="595959" w:themeColor="text1" w:themeTint="A6"/>
          <w:sz w:val="22"/>
          <w:szCs w:val="22"/>
          <w:lang w:eastAsia="zh-CN"/>
        </w:rPr>
      </w:pPr>
      <w:r>
        <w:rPr>
          <w:noProof/>
          <w:lang w:eastAsia="zh-CN"/>
        </w:rPr>
        <w:drawing>
          <wp:inline distT="0" distB="0" distL="0" distR="0" wp14:anchorId="646A586B" wp14:editId="1FAF08FB">
            <wp:extent cx="5989320" cy="4604692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9587" t="19705" r="42864" b="12289"/>
                    <a:stretch/>
                  </pic:blipFill>
                  <pic:spPr bwMode="auto">
                    <a:xfrm>
                      <a:off x="0" y="0"/>
                      <a:ext cx="6008016" cy="4619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94F62">
        <w:rPr>
          <w:rFonts w:asciiTheme="minorHAnsi" w:hAnsiTheme="minorHAnsi" w:cs="Arial"/>
          <w:color w:val="595959" w:themeColor="text1" w:themeTint="A6"/>
          <w:sz w:val="22"/>
          <w:szCs w:val="22"/>
          <w:lang w:eastAsia="zh-CN"/>
        </w:rPr>
        <w:br/>
      </w:r>
    </w:p>
    <w:p w:rsidR="00794F62" w:rsidRPr="00794F62" w:rsidRDefault="00794F62" w:rsidP="00794F62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0B1F9C" w:rsidRPr="00794F62" w:rsidRDefault="000B1F9C" w:rsidP="00794F62">
      <w:pPr>
        <w:rPr>
          <w:rFonts w:eastAsia="Meiryo UI"/>
        </w:rPr>
      </w:pPr>
    </w:p>
    <w:sectPr w:rsidR="000B1F9C" w:rsidRPr="00794F62" w:rsidSect="002F5CB3">
      <w:headerReference w:type="default" r:id="rId14"/>
      <w:footerReference w:type="default" r:id="rId15"/>
      <w:pgSz w:w="11906" w:h="16838"/>
      <w:pgMar w:top="71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BF7" w:rsidRDefault="00011BF7" w:rsidP="00736FC6">
      <w:r>
        <w:separator/>
      </w:r>
    </w:p>
  </w:endnote>
  <w:endnote w:type="continuationSeparator" w:id="0">
    <w:p w:rsidR="00011BF7" w:rsidRDefault="00011BF7" w:rsidP="0073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2A" w:rsidRPr="00A6404F" w:rsidRDefault="005D3E2A" w:rsidP="005D3E2A">
    <w:pPr>
      <w:pStyle w:val="Zpat"/>
      <w:pBdr>
        <w:top w:val="single" w:sz="4" w:space="1" w:color="A5A5A5" w:themeColor="background1" w:themeShade="A5"/>
      </w:pBdr>
      <w:ind w:left="284"/>
      <w:jc w:val="center"/>
      <w:rPr>
        <w:rFonts w:asciiTheme="minorHAnsi" w:hAnsiTheme="minorHAnsi" w:cs="Tahoma"/>
        <w:color w:val="808080" w:themeColor="background1" w:themeShade="80"/>
        <w:sz w:val="18"/>
        <w:szCs w:val="18"/>
      </w:rPr>
    </w:pPr>
    <w:r w:rsidRPr="00A6404F">
      <w:rPr>
        <w:rFonts w:asciiTheme="minorHAnsi" w:hAnsiTheme="minorHAnsi" w:cs="Tahoma"/>
        <w:color w:val="808080" w:themeColor="background1" w:themeShade="80"/>
        <w:sz w:val="18"/>
        <w:szCs w:val="18"/>
      </w:rPr>
      <w:t>Město Kutná Hora, oddělení cestovního ruchu a marketingu, Havlíčkovo náměstí 552/1, 284 01 Kutná Hora</w:t>
    </w:r>
  </w:p>
  <w:p w:rsidR="002F5CB3" w:rsidRPr="00A6404F" w:rsidRDefault="002F5CB3" w:rsidP="005D3E2A">
    <w:pPr>
      <w:pStyle w:val="Zpat"/>
      <w:pBdr>
        <w:top w:val="single" w:sz="4" w:space="1" w:color="A5A5A5" w:themeColor="background1" w:themeShade="A5"/>
      </w:pBdr>
      <w:ind w:left="284"/>
      <w:jc w:val="center"/>
      <w:rPr>
        <w:rFonts w:asciiTheme="minorHAnsi" w:hAnsiTheme="minorHAnsi" w:cs="Tahoma"/>
        <w:color w:val="808080" w:themeColor="background1" w:themeShade="80"/>
        <w:sz w:val="18"/>
        <w:szCs w:val="18"/>
      </w:rPr>
    </w:pPr>
    <w:r w:rsidRPr="00A6404F">
      <w:rPr>
        <w:rFonts w:asciiTheme="minorHAnsi" w:hAnsiTheme="minorHAnsi" w:cs="Tahoma"/>
        <w:color w:val="808080" w:themeColor="background1" w:themeShade="80"/>
        <w:sz w:val="18"/>
        <w:szCs w:val="18"/>
      </w:rPr>
      <w:t>IČ: 00236195, DIČ: CZ00236195</w:t>
    </w:r>
    <w:r w:rsidR="009A3088" w:rsidRPr="00A6404F">
      <w:rPr>
        <w:rFonts w:asciiTheme="minorHAnsi" w:hAnsiTheme="minorHAnsi" w:cs="Tahoma"/>
        <w:color w:val="808080" w:themeColor="background1" w:themeShade="80"/>
        <w:sz w:val="18"/>
        <w:szCs w:val="18"/>
      </w:rPr>
      <w:t>, email: pravdovam@kutnahora.cz, tel.: +420 603 859 538</w:t>
    </w:r>
  </w:p>
  <w:p w:rsidR="002F5CB3" w:rsidRDefault="002F5CB3" w:rsidP="005D3E2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BF7" w:rsidRDefault="00011BF7" w:rsidP="00736FC6">
      <w:r>
        <w:separator/>
      </w:r>
    </w:p>
  </w:footnote>
  <w:footnote w:type="continuationSeparator" w:id="0">
    <w:p w:rsidR="00011BF7" w:rsidRDefault="00011BF7" w:rsidP="00736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FC6" w:rsidRDefault="00736FC6" w:rsidP="00736FC6">
    <w:pPr>
      <w:pStyle w:val="Zhlav"/>
      <w:jc w:val="right"/>
    </w:pPr>
    <w:r>
      <w:rPr>
        <w:noProof/>
        <w:lang w:eastAsia="zh-CN"/>
      </w:rPr>
      <w:drawing>
        <wp:inline distT="0" distB="0" distL="0" distR="0" wp14:anchorId="59B72A56" wp14:editId="62E00CDE">
          <wp:extent cx="2055523" cy="495300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944" cy="508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6FC6" w:rsidRDefault="00736FC6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ušová Silvia">
    <w15:presenceInfo w15:providerId="AD" w15:userId="S-1-5-21-1103133246-20988406-1234779376-87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1F"/>
    <w:rsid w:val="00011BF7"/>
    <w:rsid w:val="000B1F9C"/>
    <w:rsid w:val="001A50C2"/>
    <w:rsid w:val="002E1954"/>
    <w:rsid w:val="002F5CB3"/>
    <w:rsid w:val="002F7B31"/>
    <w:rsid w:val="0033389F"/>
    <w:rsid w:val="003805D2"/>
    <w:rsid w:val="004D0A5D"/>
    <w:rsid w:val="00512B6A"/>
    <w:rsid w:val="005D3E2A"/>
    <w:rsid w:val="006B3378"/>
    <w:rsid w:val="00736FC6"/>
    <w:rsid w:val="00794F62"/>
    <w:rsid w:val="007C3060"/>
    <w:rsid w:val="007E43EA"/>
    <w:rsid w:val="0087072E"/>
    <w:rsid w:val="00873259"/>
    <w:rsid w:val="008D4076"/>
    <w:rsid w:val="009A3088"/>
    <w:rsid w:val="009E561F"/>
    <w:rsid w:val="00A42665"/>
    <w:rsid w:val="00A50C15"/>
    <w:rsid w:val="00A64003"/>
    <w:rsid w:val="00A6404F"/>
    <w:rsid w:val="00AB26E8"/>
    <w:rsid w:val="00B35D6A"/>
    <w:rsid w:val="00B758F7"/>
    <w:rsid w:val="00BB1D1D"/>
    <w:rsid w:val="00BE2FD5"/>
    <w:rsid w:val="00C45AAF"/>
    <w:rsid w:val="00C6375C"/>
    <w:rsid w:val="00C67CE6"/>
    <w:rsid w:val="00CE0ACA"/>
    <w:rsid w:val="00D7164B"/>
    <w:rsid w:val="00D80084"/>
    <w:rsid w:val="00DB7A3D"/>
    <w:rsid w:val="00DD31E3"/>
    <w:rsid w:val="00E3004A"/>
    <w:rsid w:val="00ED25AE"/>
    <w:rsid w:val="00ED418D"/>
    <w:rsid w:val="00F13856"/>
    <w:rsid w:val="00F950EF"/>
    <w:rsid w:val="00FB52F1"/>
    <w:rsid w:val="00F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D25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25A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6F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6FC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36F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6FC6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D7164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716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7164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716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716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D25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25A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6F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6FC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36F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6FC6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D7164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716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7164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716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71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.kutnahora.cz/mu/oddeleni-cestovniho-ruchu-a-marketingu" TargetMode="External"/><Relationship Id="rId13" Type="http://schemas.openxmlformats.org/officeDocument/2006/relationships/image" Target="media/image1.png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kutnahor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stinace.kutnahora.cz/modules/calendar/?rewrite=modules/calenda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skh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kutnohorskokolinsko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41416-D8AF-4E47-AFBA-939C5D5B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Pravdova</dc:creator>
  <cp:lastModifiedBy>Lenka</cp:lastModifiedBy>
  <cp:revision>2</cp:revision>
  <cp:lastPrinted>2020-05-04T07:39:00Z</cp:lastPrinted>
  <dcterms:created xsi:type="dcterms:W3CDTF">2020-05-04T08:22:00Z</dcterms:created>
  <dcterms:modified xsi:type="dcterms:W3CDTF">2020-05-04T08:22:00Z</dcterms:modified>
</cp:coreProperties>
</file>