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0F" w:rsidRPr="00B81B0F" w:rsidRDefault="00B81B0F" w:rsidP="00B8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>Ось переклад тексту про місцеві збори на 2026 рік українською мовою:</w:t>
      </w:r>
    </w:p>
    <w:p w:rsidR="00B81B0F" w:rsidRPr="00B81B0F" w:rsidRDefault="00B81B0F" w:rsidP="00B8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B0F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B81B0F" w:rsidRPr="00B81B0F" w:rsidRDefault="00B81B0F" w:rsidP="00B8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B81B0F">
        <w:rPr>
          <w:rFonts w:ascii="Arial" w:eastAsia="Times New Roman" w:hAnsi="Arial" w:cs="Arial"/>
          <w:color w:val="1F1F1F"/>
          <w:u w:val="single"/>
          <w:lang w:eastAsia="cs-CZ"/>
        </w:rPr>
        <w:t>Місцеві збори у 2026 році</w:t>
      </w:r>
      <w:r w:rsidR="00B1135B" w:rsidRPr="00B1135B">
        <w:rPr>
          <w:rFonts w:ascii="Arial" w:eastAsia="Times New Roman" w:hAnsi="Arial" w:cs="Arial"/>
          <w:color w:val="1F1F1F"/>
          <w:u w:val="single"/>
          <w:lang w:eastAsia="cs-CZ"/>
        </w:rPr>
        <w:t xml:space="preserve"> </w:t>
      </w:r>
      <w:r w:rsidRPr="00B81B0F">
        <w:rPr>
          <w:rFonts w:ascii="Arial" w:eastAsia="Times New Roman" w:hAnsi="Arial" w:cs="Arial"/>
          <w:color w:val="1F1F1F"/>
          <w:u w:val="single"/>
          <w:lang w:eastAsia="cs-CZ"/>
        </w:rPr>
        <w:t>Збір за муніципальну систему управління відходами</w:t>
      </w:r>
    </w:p>
    <w:p w:rsidR="00B1135B" w:rsidRPr="00B1135B" w:rsidRDefault="00B81B0F" w:rsidP="00FA6EFF">
      <w:pPr>
        <w:numPr>
          <w:ilvl w:val="0"/>
          <w:numId w:val="1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Розмір збору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 за комунальні відходи у 2026 році залишається незмінним і становить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1000 чеських крон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FA6EFF">
      <w:pPr>
        <w:numPr>
          <w:ilvl w:val="0"/>
          <w:numId w:val="1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Термін сплати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 — до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30 вересня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numPr>
          <w:ilvl w:val="0"/>
          <w:numId w:val="1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Звільнення від сплати:</w:t>
      </w:r>
    </w:p>
    <w:p w:rsidR="00B1135B" w:rsidRPr="00B1135B" w:rsidRDefault="00B81B0F" w:rsidP="00A85B65">
      <w:pPr>
        <w:numPr>
          <w:ilvl w:val="0"/>
          <w:numId w:val="2"/>
        </w:numPr>
        <w:spacing w:after="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Діти, яким у поточному календарному році виповнилося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не більше 6 років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 (стосується дітей, народжених у 2020, 2021, 2022, 2023, 2024, 2025 та 2026 роках).</w:t>
      </w:r>
    </w:p>
    <w:p w:rsidR="00B81B0F" w:rsidRPr="00B81B0F" w:rsidRDefault="00B81B0F" w:rsidP="004E7614">
      <w:pPr>
        <w:numPr>
          <w:ilvl w:val="0"/>
          <w:numId w:val="2"/>
        </w:numPr>
        <w:spacing w:after="0" w:line="240" w:lineRule="auto"/>
        <w:ind w:left="10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Громадяни, яким у даному році виповнюється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80 і більше років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  <w:r w:rsidRPr="00B81B0F">
        <w:rPr>
          <w:rFonts w:ascii="Arial" w:eastAsia="Times New Roman" w:hAnsi="Arial" w:cs="Arial"/>
          <w:color w:val="000000"/>
          <w:lang w:eastAsia="cs-CZ"/>
        </w:rPr>
        <w:br/>
      </w:r>
      <w:r w:rsidRPr="00B81B0F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B81B0F" w:rsidRPr="00B81B0F" w:rsidRDefault="00B81B0F" w:rsidP="00B8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B81B0F">
        <w:rPr>
          <w:rFonts w:ascii="Arial" w:eastAsia="Times New Roman" w:hAnsi="Arial" w:cs="Arial"/>
          <w:color w:val="1F1F1F"/>
          <w:u w:val="single"/>
          <w:lang w:eastAsia="cs-CZ"/>
        </w:rPr>
        <w:t>Збір за собак</w:t>
      </w:r>
    </w:p>
    <w:p w:rsidR="00B81B0F" w:rsidRPr="00B81B0F" w:rsidRDefault="00B81B0F" w:rsidP="00B81B0F">
      <w:pPr>
        <w:numPr>
          <w:ilvl w:val="0"/>
          <w:numId w:val="3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Важлива інформація: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 Муніципальне управління (MěÚ) більше не видає номерні жетони для новозареєстрованих собак, а також не проводить їх заміну чи видачу дублікатів у разі втрати. Собаки підлягають обов'язковому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чіпуванню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  <w:r w:rsidRPr="00B81B0F">
        <w:rPr>
          <w:rFonts w:ascii="Arial" w:eastAsia="Times New Roman" w:hAnsi="Arial" w:cs="Arial"/>
          <w:color w:val="000000"/>
          <w:lang w:eastAsia="cs-CZ"/>
        </w:rPr>
        <w:br/>
      </w:r>
    </w:p>
    <w:p w:rsidR="00B1135B" w:rsidRPr="00B1135B" w:rsidRDefault="00B81B0F" w:rsidP="00763BDA">
      <w:pPr>
        <w:numPr>
          <w:ilvl w:val="0"/>
          <w:numId w:val="3"/>
        </w:numPr>
        <w:spacing w:after="0" w:line="240" w:lineRule="auto"/>
        <w:ind w:left="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Ставки збору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 на 2026 рік залишаються незмінними, термін сплати — до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30 вересня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1135B">
      <w:pPr>
        <w:spacing w:after="0" w:line="240" w:lineRule="auto"/>
        <w:ind w:left="2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>Річні ставки збору за одного собаку:</w:t>
      </w:r>
    </w:p>
    <w:p w:rsidR="00B81B0F" w:rsidRPr="00B81B0F" w:rsidRDefault="00B81B0F" w:rsidP="00B81B0F">
      <w:pPr>
        <w:numPr>
          <w:ilvl w:val="0"/>
          <w:numId w:val="4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У сімейних будинках та для осіб, зареєстрованих за адресою мерії: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300 крон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numPr>
          <w:ilvl w:val="0"/>
          <w:numId w:val="4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В інших типах будівель (наприклад, багатоквартирних):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700 крон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numPr>
          <w:ilvl w:val="0"/>
          <w:numId w:val="4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У сімейних будинках у районі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Малін (Malín)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: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150 крон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numPr>
          <w:ilvl w:val="0"/>
          <w:numId w:val="4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У районі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Каньк (Kaňk)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: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150 крон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numPr>
          <w:ilvl w:val="0"/>
          <w:numId w:val="4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У районах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Нешкаредіце (Neškaredice), Перштейнєц (Perštejnec), Полічани (Poličany)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: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100 крон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>Річні ставки за другого та кожного наступного собаку того ж власника:</w:t>
      </w:r>
    </w:p>
    <w:p w:rsidR="00B81B0F" w:rsidRPr="00B81B0F" w:rsidRDefault="00B81B0F" w:rsidP="00B81B0F">
      <w:pPr>
        <w:numPr>
          <w:ilvl w:val="0"/>
          <w:numId w:val="5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lastRenderedPageBreak/>
        <w:t xml:space="preserve">У сімейних будинках та за адресою мерії: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700 крон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numPr>
          <w:ilvl w:val="0"/>
          <w:numId w:val="5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В інших типах будівель: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1200 крон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numPr>
          <w:ilvl w:val="0"/>
          <w:numId w:val="5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У сімейних будинках у районі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Малін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: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400 крон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numPr>
          <w:ilvl w:val="0"/>
          <w:numId w:val="5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У районі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Каньк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: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400 крон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numPr>
          <w:ilvl w:val="0"/>
          <w:numId w:val="5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У районах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Нешкаредіце, Перштейнєц, Полічани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: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300 крон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>Спеціальні ставки для власників віком понад 65 років:</w:t>
      </w:r>
    </w:p>
    <w:p w:rsidR="00B81B0F" w:rsidRPr="00B81B0F" w:rsidRDefault="00B81B0F" w:rsidP="00B81B0F">
      <w:pPr>
        <w:numPr>
          <w:ilvl w:val="0"/>
          <w:numId w:val="6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За першого собаку:</w:t>
      </w:r>
    </w:p>
    <w:p w:rsidR="00B81B0F" w:rsidRPr="00B81B0F" w:rsidRDefault="00B81B0F" w:rsidP="00B81B0F">
      <w:pPr>
        <w:numPr>
          <w:ilvl w:val="0"/>
          <w:numId w:val="7"/>
        </w:numPr>
        <w:spacing w:after="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У сімейних будинках та за адресою мерії: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150 крон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numPr>
          <w:ilvl w:val="0"/>
          <w:numId w:val="7"/>
        </w:numPr>
        <w:spacing w:after="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В інших типах будівель: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200 крон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numPr>
          <w:ilvl w:val="0"/>
          <w:numId w:val="7"/>
        </w:numPr>
        <w:spacing w:after="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У районах Малін, Каньк, Нешкаредіце, Перштейнєц, Полічани: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100 крон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numPr>
          <w:ilvl w:val="0"/>
          <w:numId w:val="8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За другого та кожного наступного собаку: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300 крон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B0F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B81B0F" w:rsidRPr="00B81B0F" w:rsidRDefault="00B81B0F" w:rsidP="00B8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B81B0F">
        <w:rPr>
          <w:rFonts w:ascii="Arial" w:eastAsia="Times New Roman" w:hAnsi="Arial" w:cs="Arial"/>
          <w:color w:val="1F1F1F"/>
          <w:u w:val="single"/>
          <w:lang w:eastAsia="cs-CZ"/>
        </w:rPr>
        <w:t>Способи оплати та контакти</w:t>
      </w:r>
    </w:p>
    <w:p w:rsidR="00B81B0F" w:rsidRPr="00B81B0F" w:rsidRDefault="00B81B0F" w:rsidP="00B8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>Громадянам, які надали свою електронну адресу, дані для оплати будуть надіслані протягом лютого та березня 2026 року.</w:t>
      </w:r>
    </w:p>
    <w:p w:rsidR="00B81B0F" w:rsidRPr="00B81B0F" w:rsidRDefault="00B81B0F" w:rsidP="00B8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81B0F" w:rsidRPr="00B81B0F" w:rsidRDefault="00B81B0F" w:rsidP="00B8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Варіанти оплати:</w:t>
      </w:r>
    </w:p>
    <w:p w:rsidR="00B81B0F" w:rsidRPr="00B81B0F" w:rsidRDefault="00B81B0F" w:rsidP="00B81B0F">
      <w:pPr>
        <w:numPr>
          <w:ilvl w:val="0"/>
          <w:numId w:val="9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Банківським переказом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 на рахунок: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19-444212389/0800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numPr>
          <w:ilvl w:val="0"/>
          <w:numId w:val="9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Поштовим переказом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 (заповнюється самостійно на пошті).</w:t>
      </w:r>
    </w:p>
    <w:p w:rsidR="00B81B0F" w:rsidRPr="00B81B0F" w:rsidRDefault="00B81B0F" w:rsidP="00B81B0F">
      <w:pPr>
        <w:numPr>
          <w:ilvl w:val="0"/>
          <w:numId w:val="9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Готівкою або карткою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 в касі муніципалітету (вулиця Radnická).</w:t>
      </w:r>
    </w:p>
    <w:p w:rsidR="00B81B0F" w:rsidRPr="00B81B0F" w:rsidRDefault="00B81B0F" w:rsidP="00B81B0F">
      <w:pPr>
        <w:numPr>
          <w:ilvl w:val="0"/>
          <w:numId w:val="9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Через систему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SIPO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413880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[!IMPORTANT] Для перших трьох способів оплати необхідно знати свій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варіабельний символ (variabilní symbol)</w:t>
      </w:r>
      <w:r w:rsidRPr="00B81B0F">
        <w:rPr>
          <w:rFonts w:ascii="Arial" w:eastAsia="Times New Roman" w:hAnsi="Arial" w:cs="Arial"/>
          <w:color w:val="1F1F1F"/>
          <w:lang w:eastAsia="cs-CZ"/>
        </w:rPr>
        <w:t>. Він залишається незмінним з минулих років.</w:t>
      </w:r>
    </w:p>
    <w:p w:rsidR="00B81B0F" w:rsidRPr="00B81B0F" w:rsidRDefault="00B81B0F" w:rsidP="00B8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81B0F" w:rsidRPr="00B81B0F" w:rsidRDefault="00B81B0F" w:rsidP="00B8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lastRenderedPageBreak/>
        <w:t>Якщо ви не знаєте свій варіабельний символ, зверніться до відділу місцевих зборів:</w:t>
      </w:r>
    </w:p>
    <w:p w:rsidR="00B81B0F" w:rsidRPr="00B81B0F" w:rsidRDefault="00B81B0F" w:rsidP="00B81B0F">
      <w:pPr>
        <w:numPr>
          <w:ilvl w:val="0"/>
          <w:numId w:val="10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Відходи: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 пані Кралова (paní Králová), тел: 327 710 149, e-mail: kralova@mu.kutnahora.cz.</w:t>
      </w:r>
    </w:p>
    <w:p w:rsidR="00B81B0F" w:rsidRPr="00B81B0F" w:rsidRDefault="00B81B0F" w:rsidP="00B81B0F">
      <w:pPr>
        <w:numPr>
          <w:ilvl w:val="0"/>
          <w:numId w:val="10"/>
        </w:numPr>
        <w:spacing w:after="0" w:line="240" w:lineRule="auto"/>
        <w:ind w:left="57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Собаки: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 пані Велова (paní Velová), тел: 327 710 148, e-mail: velova@mu.kutnahora.cz.</w:t>
      </w:r>
    </w:p>
    <w:p w:rsidR="00B81B0F" w:rsidRPr="00B81B0F" w:rsidRDefault="00B81B0F" w:rsidP="00B8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B0F">
        <w:rPr>
          <w:rFonts w:ascii="Arial" w:eastAsia="Times New Roman" w:hAnsi="Arial" w:cs="Arial"/>
          <w:color w:val="1F1F1F"/>
          <w:lang w:eastAsia="cs-CZ"/>
        </w:rPr>
        <w:t xml:space="preserve">Для оплати через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SIPO</w:t>
      </w:r>
      <w:r w:rsidRPr="00B81B0F">
        <w:rPr>
          <w:rFonts w:ascii="Arial" w:eastAsia="Times New Roman" w:hAnsi="Arial" w:cs="Arial"/>
          <w:color w:val="1F1F1F"/>
          <w:lang w:eastAsia="cs-CZ"/>
        </w:rPr>
        <w:t xml:space="preserve"> необхідно особисто з'явитися до мерії з одним місячним звітом SIPO та подати заяву не пізніше </w:t>
      </w:r>
      <w:r w:rsidRPr="00B81B0F">
        <w:rPr>
          <w:rFonts w:ascii="Arial" w:eastAsia="Times New Roman" w:hAnsi="Arial" w:cs="Arial"/>
          <w:b/>
          <w:bCs/>
          <w:color w:val="1F1F1F"/>
          <w:lang w:eastAsia="cs-CZ"/>
        </w:rPr>
        <w:t>31 липня</w:t>
      </w:r>
      <w:r w:rsidRPr="00B81B0F">
        <w:rPr>
          <w:rFonts w:ascii="Arial" w:eastAsia="Times New Roman" w:hAnsi="Arial" w:cs="Arial"/>
          <w:color w:val="1F1F1F"/>
          <w:lang w:eastAsia="cs-CZ"/>
        </w:rPr>
        <w:t>.</w:t>
      </w:r>
    </w:p>
    <w:p w:rsidR="00B81B0F" w:rsidRPr="00B81B0F" w:rsidRDefault="00B81B0F" w:rsidP="00B8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B0F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B81B0F" w:rsidRPr="00B81B0F" w:rsidRDefault="00B81B0F" w:rsidP="00B8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B0F">
        <w:rPr>
          <w:rFonts w:ascii="Arial" w:eastAsia="Times New Roman" w:hAnsi="Arial" w:cs="Arial"/>
          <w:i/>
          <w:iCs/>
          <w:color w:val="1F1F1F"/>
          <w:lang w:eastAsia="cs-CZ"/>
        </w:rPr>
        <w:t xml:space="preserve">Економічний департамент, відділ податків </w:t>
      </w:r>
      <w:bookmarkStart w:id="0" w:name="_GoBack"/>
      <w:bookmarkEnd w:id="0"/>
      <w:r w:rsidRPr="00B81B0F">
        <w:rPr>
          <w:rFonts w:ascii="Arial" w:eastAsia="Times New Roman" w:hAnsi="Arial" w:cs="Arial"/>
          <w:i/>
          <w:iCs/>
          <w:color w:val="1F1F1F"/>
          <w:lang w:eastAsia="cs-CZ"/>
        </w:rPr>
        <w:t>і зборів.</w:t>
      </w:r>
    </w:p>
    <w:sectPr w:rsidR="00B81B0F" w:rsidRPr="00B81B0F" w:rsidSect="00413880">
      <w:pgSz w:w="11906" w:h="16838"/>
      <w:pgMar w:top="426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0BBA"/>
    <w:multiLevelType w:val="multilevel"/>
    <w:tmpl w:val="FF86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64129"/>
    <w:multiLevelType w:val="multilevel"/>
    <w:tmpl w:val="E980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52423"/>
    <w:multiLevelType w:val="multilevel"/>
    <w:tmpl w:val="3822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21FA4"/>
    <w:multiLevelType w:val="multilevel"/>
    <w:tmpl w:val="3F3C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9264B"/>
    <w:multiLevelType w:val="multilevel"/>
    <w:tmpl w:val="8376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161B1"/>
    <w:multiLevelType w:val="multilevel"/>
    <w:tmpl w:val="2B6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30F10"/>
    <w:multiLevelType w:val="multilevel"/>
    <w:tmpl w:val="1A58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A4FBB"/>
    <w:multiLevelType w:val="multilevel"/>
    <w:tmpl w:val="232E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46534"/>
    <w:multiLevelType w:val="multilevel"/>
    <w:tmpl w:val="883A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D6D86"/>
    <w:multiLevelType w:val="multilevel"/>
    <w:tmpl w:val="DC72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16"/>
    <w:rsid w:val="00204416"/>
    <w:rsid w:val="00413880"/>
    <w:rsid w:val="004624BE"/>
    <w:rsid w:val="00B1135B"/>
    <w:rsid w:val="00B81B0F"/>
    <w:rsid w:val="00C95B6B"/>
    <w:rsid w:val="00EB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258F"/>
  <w15:chartTrackingRefBased/>
  <w15:docId w15:val="{BDA616D6-EE87-4A9C-B819-C3AC1805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044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0441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04416"/>
    <w:rPr>
      <w:b/>
      <w:bCs/>
    </w:rPr>
  </w:style>
  <w:style w:type="paragraph" w:customStyle="1" w:styleId="default">
    <w:name w:val="default"/>
    <w:basedOn w:val="Normln"/>
    <w:rsid w:val="0020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address">
    <w:name w:val="eaddress"/>
    <w:basedOn w:val="Standardnpsmoodstavce"/>
    <w:rsid w:val="00204416"/>
  </w:style>
  <w:style w:type="character" w:styleId="Hypertextovodkaz">
    <w:name w:val="Hyperlink"/>
    <w:basedOn w:val="Standardnpsmoodstavce"/>
    <w:uiPriority w:val="99"/>
    <w:semiHidden/>
    <w:unhideWhenUsed/>
    <w:rsid w:val="002044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2258">
          <w:marLeft w:val="0"/>
          <w:marRight w:val="0"/>
          <w:marTop w:val="360"/>
          <w:marBottom w:val="0"/>
          <w:divBdr>
            <w:top w:val="single" w:sz="6" w:space="24" w:color="DEE2EB"/>
            <w:left w:val="single" w:sz="6" w:space="31" w:color="DEE2EB"/>
            <w:bottom w:val="single" w:sz="6" w:space="24" w:color="DEE2EB"/>
            <w:right w:val="single" w:sz="6" w:space="31" w:color="DEE2EB"/>
          </w:divBdr>
          <w:divsChild>
            <w:div w:id="1600411176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Bulánková</dc:creator>
  <cp:keywords/>
  <dc:description/>
  <cp:lastModifiedBy>Monika Bulánková</cp:lastModifiedBy>
  <cp:revision>3</cp:revision>
  <dcterms:created xsi:type="dcterms:W3CDTF">2026-03-26T06:44:00Z</dcterms:created>
  <dcterms:modified xsi:type="dcterms:W3CDTF">2026-03-26T06:54:00Z</dcterms:modified>
</cp:coreProperties>
</file>